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B04" w:rsidRPr="00AC7191" w:rsidRDefault="00B56B04" w:rsidP="005D0230">
      <w:pPr>
        <w:spacing w:after="0" w:line="480" w:lineRule="auto"/>
        <w:ind w:right="-64"/>
        <w:jc w:val="both"/>
        <w:rPr>
          <w:rFonts w:ascii="Times New Roman" w:hAnsi="Times New Roman" w:cs="Times New Roman"/>
          <w:b/>
          <w:bCs/>
          <w:sz w:val="32"/>
          <w:szCs w:val="32"/>
          <w:lang w:val="en-GB"/>
        </w:rPr>
      </w:pPr>
      <w:r w:rsidRPr="00AC7191">
        <w:rPr>
          <w:rFonts w:ascii="Times New Roman" w:hAnsi="Times New Roman" w:cs="Times New Roman"/>
          <w:b/>
          <w:bCs/>
          <w:sz w:val="32"/>
          <w:szCs w:val="32"/>
          <w:lang w:val="en-GB"/>
        </w:rPr>
        <w:t xml:space="preserve">QUESTION </w:t>
      </w:r>
      <w:r w:rsidR="00B907DE" w:rsidRPr="00AC7191">
        <w:rPr>
          <w:rFonts w:ascii="Times New Roman" w:hAnsi="Times New Roman" w:cs="Times New Roman"/>
          <w:b/>
          <w:bCs/>
          <w:sz w:val="32"/>
          <w:szCs w:val="32"/>
          <w:lang w:val="en-GB"/>
        </w:rPr>
        <w:t>NO:</w:t>
      </w:r>
      <w:r w:rsidRPr="00AC7191">
        <w:rPr>
          <w:rFonts w:ascii="Times New Roman" w:hAnsi="Times New Roman" w:cs="Times New Roman"/>
          <w:b/>
          <w:bCs/>
          <w:sz w:val="32"/>
          <w:szCs w:val="32"/>
          <w:lang w:val="en-GB"/>
        </w:rPr>
        <w:t xml:space="preserve"> 2</w:t>
      </w:r>
    </w:p>
    <w:p w:rsidR="00B56B04" w:rsidRPr="00AC7191" w:rsidRDefault="00D06233" w:rsidP="005D0230">
      <w:pPr>
        <w:spacing w:after="0" w:line="480" w:lineRule="auto"/>
        <w:ind w:right="-64"/>
        <w:jc w:val="both"/>
        <w:rPr>
          <w:rFonts w:ascii="Times New Roman" w:hAnsi="Times New Roman" w:cs="Times New Roman"/>
          <w:sz w:val="24"/>
          <w:szCs w:val="24"/>
          <w:lang w:val="en-GB"/>
        </w:rPr>
      </w:pPr>
      <w:r>
        <w:rPr>
          <w:rFonts w:ascii="Times New Roman" w:hAnsi="Times New Roman" w:cs="Times New Roman"/>
          <w:b/>
          <w:bCs/>
          <w:sz w:val="24"/>
          <w:szCs w:val="24"/>
          <w:lang w:val="ig-NG"/>
        </w:rPr>
        <w:t>ANSWER:</w:t>
      </w:r>
      <w:r>
        <w:rPr>
          <w:rFonts w:ascii="Times New Roman" w:hAnsi="Times New Roman" w:cs="Times New Roman"/>
          <w:b/>
          <w:bCs/>
          <w:sz w:val="24"/>
          <w:szCs w:val="24"/>
          <w:lang w:val="ig-NG"/>
        </w:rPr>
        <w:tab/>
      </w:r>
      <w:r w:rsidR="00B56B04" w:rsidRPr="00AC7191">
        <w:rPr>
          <w:rFonts w:ascii="Times New Roman" w:hAnsi="Times New Roman" w:cs="Times New Roman"/>
          <w:sz w:val="24"/>
          <w:szCs w:val="24"/>
          <w:lang w:val="en-GB"/>
        </w:rPr>
        <w:t xml:space="preserve">The Four Gospels represent different traditions or streams within Christian tradition. Three Gospels (Mark, Matthew and Luke) shared similar materials and forms of presentation and are called, for that reason the synoptic </w:t>
      </w:r>
      <w:r w:rsidR="005971DE">
        <w:rPr>
          <w:rFonts w:ascii="Times New Roman" w:hAnsi="Times New Roman" w:cs="Times New Roman"/>
          <w:sz w:val="24"/>
          <w:szCs w:val="24"/>
          <w:lang w:val="ig-NG"/>
        </w:rPr>
        <w:t xml:space="preserve">meaning </w:t>
      </w:r>
      <w:r w:rsidR="00B56B04" w:rsidRPr="00AC7191">
        <w:rPr>
          <w:rFonts w:ascii="Times New Roman" w:hAnsi="Times New Roman" w:cs="Times New Roman"/>
          <w:sz w:val="24"/>
          <w:szCs w:val="24"/>
          <w:lang w:val="en-GB"/>
        </w:rPr>
        <w:t>‘to be seen together’</w:t>
      </w:r>
      <w:r w:rsidR="005971DE">
        <w:rPr>
          <w:rFonts w:ascii="Times New Roman" w:hAnsi="Times New Roman" w:cs="Times New Roman"/>
          <w:sz w:val="24"/>
          <w:szCs w:val="24"/>
          <w:lang w:val="ig-NG"/>
        </w:rPr>
        <w:t xml:space="preserve">. However, our aim here is to look at the christology of the synoptics </w:t>
      </w:r>
      <w:r w:rsidR="005971DE">
        <w:rPr>
          <w:rFonts w:ascii="Times New Roman" w:hAnsi="Times New Roman" w:cs="Times New Roman"/>
          <w:sz w:val="24"/>
          <w:szCs w:val="24"/>
          <w:lang w:val="en-GB"/>
        </w:rPr>
        <w:t>Gospel</w:t>
      </w:r>
      <w:r w:rsidR="005971DE">
        <w:rPr>
          <w:rFonts w:ascii="Times New Roman" w:hAnsi="Times New Roman" w:cs="Times New Roman"/>
          <w:sz w:val="24"/>
          <w:szCs w:val="24"/>
          <w:lang w:val="ig-NG"/>
        </w:rPr>
        <w:t xml:space="preserve"> as </w:t>
      </w:r>
      <w:r w:rsidR="00B56B04" w:rsidRPr="00AC7191">
        <w:rPr>
          <w:rFonts w:ascii="Times New Roman" w:hAnsi="Times New Roman" w:cs="Times New Roman"/>
          <w:sz w:val="24"/>
          <w:szCs w:val="24"/>
          <w:lang w:val="en-GB"/>
        </w:rPr>
        <w:t xml:space="preserve">used by </w:t>
      </w:r>
      <w:r w:rsidR="005971DE">
        <w:rPr>
          <w:rFonts w:ascii="Times New Roman" w:hAnsi="Times New Roman" w:cs="Times New Roman"/>
          <w:sz w:val="24"/>
          <w:szCs w:val="24"/>
          <w:lang w:val="ig-NG"/>
        </w:rPr>
        <w:t xml:space="preserve">Mark, </w:t>
      </w:r>
      <w:r w:rsidR="00B56B04" w:rsidRPr="00AC7191">
        <w:rPr>
          <w:rFonts w:ascii="Times New Roman" w:hAnsi="Times New Roman" w:cs="Times New Roman"/>
          <w:sz w:val="24"/>
          <w:szCs w:val="24"/>
          <w:lang w:val="en-GB"/>
        </w:rPr>
        <w:t xml:space="preserve">Matthew and Luke. </w:t>
      </w:r>
    </w:p>
    <w:p w:rsidR="00B56B04" w:rsidRPr="00735E05" w:rsidRDefault="00735E05" w:rsidP="005D0230">
      <w:pPr>
        <w:spacing w:after="0" w:line="480" w:lineRule="auto"/>
        <w:ind w:right="-64"/>
        <w:jc w:val="both"/>
        <w:rPr>
          <w:rFonts w:ascii="Times New Roman" w:hAnsi="Times New Roman" w:cs="Times New Roman"/>
          <w:sz w:val="24"/>
          <w:szCs w:val="24"/>
          <w:lang w:val="en-GB"/>
        </w:rPr>
      </w:pPr>
      <w:r>
        <w:rPr>
          <w:rFonts w:ascii="Times New Roman" w:hAnsi="Times New Roman" w:cs="Times New Roman"/>
          <w:b/>
          <w:bCs/>
          <w:sz w:val="24"/>
          <w:szCs w:val="24"/>
          <w:lang w:val="ig-NG"/>
        </w:rPr>
        <w:t>1.</w:t>
      </w:r>
      <w:r>
        <w:rPr>
          <w:rFonts w:ascii="Times New Roman" w:hAnsi="Times New Roman" w:cs="Times New Roman"/>
          <w:b/>
          <w:bCs/>
          <w:sz w:val="24"/>
          <w:szCs w:val="24"/>
          <w:lang w:val="ig-NG"/>
        </w:rPr>
        <w:tab/>
      </w:r>
      <w:r w:rsidR="00B56B04" w:rsidRPr="00735E05">
        <w:rPr>
          <w:rFonts w:ascii="Times New Roman" w:hAnsi="Times New Roman" w:cs="Times New Roman"/>
          <w:b/>
          <w:bCs/>
          <w:sz w:val="24"/>
          <w:szCs w:val="24"/>
          <w:lang w:val="en-GB"/>
        </w:rPr>
        <w:t>THE CHRISTOLOGY OF ST.</w:t>
      </w:r>
      <w:r w:rsidR="00003832">
        <w:rPr>
          <w:rFonts w:ascii="Times New Roman" w:hAnsi="Times New Roman" w:cs="Times New Roman"/>
          <w:b/>
          <w:bCs/>
          <w:sz w:val="24"/>
          <w:szCs w:val="24"/>
          <w:lang w:val="ig-NG"/>
        </w:rPr>
        <w:t xml:space="preserve"> </w:t>
      </w:r>
      <w:r w:rsidR="00B56B04" w:rsidRPr="00735E05">
        <w:rPr>
          <w:rFonts w:ascii="Times New Roman" w:hAnsi="Times New Roman" w:cs="Times New Roman"/>
          <w:b/>
          <w:bCs/>
          <w:sz w:val="24"/>
          <w:szCs w:val="24"/>
          <w:lang w:val="en-GB"/>
        </w:rPr>
        <w:t xml:space="preserve">MARK: SPIRIT CHRISTOLOGY: </w:t>
      </w:r>
      <w:r w:rsidR="00B56B04" w:rsidRPr="00735E05">
        <w:rPr>
          <w:rFonts w:ascii="Times New Roman" w:hAnsi="Times New Roman" w:cs="Times New Roman"/>
          <w:bCs/>
          <w:sz w:val="24"/>
          <w:szCs w:val="24"/>
          <w:lang w:val="en-GB"/>
        </w:rPr>
        <w:t>Mark‘s</w:t>
      </w:r>
      <w:r w:rsidR="00B56B04" w:rsidRPr="00735E05">
        <w:rPr>
          <w:rFonts w:ascii="Times New Roman" w:hAnsi="Times New Roman" w:cs="Times New Roman"/>
          <w:sz w:val="24"/>
          <w:szCs w:val="24"/>
          <w:lang w:val="en-GB"/>
        </w:rPr>
        <w:t xml:space="preserve"> Christology can be termed - a SPIRIT Christology. The Spirit of God rests on Jesus - (echos of O.T. Isaiah 11:2 and 61:1). The power of God reveals itself through Jesus. But the full revelation is achieved only in the suffering Jesus.</w:t>
      </w:r>
      <w:r w:rsidR="00B56B04" w:rsidRPr="00AC7191">
        <w:rPr>
          <w:rStyle w:val="FootnoteReference"/>
          <w:rFonts w:ascii="Times New Roman" w:hAnsi="Times New Roman" w:cs="Times New Roman"/>
          <w:sz w:val="24"/>
          <w:szCs w:val="24"/>
          <w:lang w:val="en-GB"/>
        </w:rPr>
        <w:footnoteReference w:id="1"/>
      </w:r>
      <w:r w:rsidR="00B56B04" w:rsidRPr="00735E05">
        <w:rPr>
          <w:rFonts w:ascii="Times New Roman" w:hAnsi="Times New Roman" w:cs="Times New Roman"/>
          <w:sz w:val="24"/>
          <w:szCs w:val="24"/>
          <w:lang w:val="en-GB"/>
        </w:rPr>
        <w:t xml:space="preserve"> The Gospel of Mark is more than a message from God concerning Jesus Christ. It proclaims God's action among human beings.2 The manifestation of Christ, Son of God will take place in two phases: in the first (Mark 1:1 - 8:30) Jesus shows his power in miracles often directed against the forces of evil, and his opponents claim he is an instrument of Satan himself. In the second phase (divided by Peter's Confession at Caesarea Phil</w:t>
      </w:r>
      <w:r w:rsidR="00AC7191" w:rsidRPr="00735E05">
        <w:rPr>
          <w:rFonts w:ascii="Times New Roman" w:hAnsi="Times New Roman" w:cs="Times New Roman"/>
          <w:sz w:val="24"/>
          <w:szCs w:val="24"/>
          <w:lang w:val="en-GB"/>
        </w:rPr>
        <w:t>ippi, the true mystery of Jesus’</w:t>
      </w:r>
      <w:r w:rsidR="00B56B04" w:rsidRPr="00735E05">
        <w:rPr>
          <w:rFonts w:ascii="Times New Roman" w:hAnsi="Times New Roman" w:cs="Times New Roman"/>
          <w:sz w:val="24"/>
          <w:szCs w:val="24"/>
          <w:lang w:val="en-GB"/>
        </w:rPr>
        <w:t xml:space="preserve"> saving mission is revealed: the Son of Man must suffer, die and then be raised</w:t>
      </w:r>
      <w:r w:rsidR="00AC7191" w:rsidRPr="00735E05">
        <w:rPr>
          <w:rFonts w:ascii="Times New Roman" w:hAnsi="Times New Roman" w:cs="Times New Roman"/>
          <w:sz w:val="24"/>
          <w:szCs w:val="24"/>
          <w:lang w:val="en-GB"/>
        </w:rPr>
        <w:t>. The final conflict with Jesus’</w:t>
      </w:r>
      <w:r w:rsidR="00B56B04" w:rsidRPr="00735E05">
        <w:rPr>
          <w:rFonts w:ascii="Times New Roman" w:hAnsi="Times New Roman" w:cs="Times New Roman"/>
          <w:sz w:val="24"/>
          <w:szCs w:val="24"/>
          <w:lang w:val="en-GB"/>
        </w:rPr>
        <w:t xml:space="preserve"> adversaries will take place in Jerusalem, and there also the centurion will finally declare openly who Jesus is: the Son of God.</w:t>
      </w:r>
    </w:p>
    <w:p w:rsidR="00B56B04" w:rsidRPr="00AC7191" w:rsidRDefault="00735E05" w:rsidP="005D0230">
      <w:pPr>
        <w:spacing w:after="0" w:line="480" w:lineRule="auto"/>
        <w:ind w:right="-64"/>
        <w:jc w:val="both"/>
        <w:rPr>
          <w:rFonts w:ascii="Times New Roman" w:hAnsi="Times New Roman" w:cs="Times New Roman"/>
          <w:sz w:val="24"/>
          <w:szCs w:val="24"/>
          <w:lang w:val="en-GB"/>
        </w:rPr>
      </w:pPr>
      <w:r>
        <w:rPr>
          <w:rFonts w:ascii="Times New Roman" w:hAnsi="Times New Roman" w:cs="Times New Roman"/>
          <w:b/>
          <w:bCs/>
          <w:sz w:val="24"/>
          <w:szCs w:val="24"/>
          <w:lang w:val="ig-NG"/>
        </w:rPr>
        <w:t>2.</w:t>
      </w:r>
      <w:r>
        <w:rPr>
          <w:rFonts w:ascii="Times New Roman" w:hAnsi="Times New Roman" w:cs="Times New Roman"/>
          <w:b/>
          <w:bCs/>
          <w:sz w:val="24"/>
          <w:szCs w:val="24"/>
          <w:lang w:val="ig-NG"/>
        </w:rPr>
        <w:tab/>
      </w:r>
      <w:r w:rsidR="00003832">
        <w:rPr>
          <w:rFonts w:ascii="Times New Roman" w:hAnsi="Times New Roman" w:cs="Times New Roman"/>
          <w:b/>
          <w:bCs/>
          <w:sz w:val="24"/>
          <w:szCs w:val="24"/>
          <w:lang w:val="en-GB"/>
        </w:rPr>
        <w:t>THE CHRISTOLOGY OF LUKE</w:t>
      </w:r>
      <w:r w:rsidR="00003832">
        <w:rPr>
          <w:rFonts w:ascii="Times New Roman" w:hAnsi="Times New Roman" w:cs="Times New Roman"/>
          <w:b/>
          <w:bCs/>
          <w:sz w:val="24"/>
          <w:szCs w:val="24"/>
          <w:lang w:val="ig-NG"/>
        </w:rPr>
        <w:t xml:space="preserve">: </w:t>
      </w:r>
      <w:r w:rsidR="00B56B04" w:rsidRPr="00AC7191">
        <w:rPr>
          <w:rFonts w:ascii="Times New Roman" w:hAnsi="Times New Roman" w:cs="Times New Roman"/>
          <w:b/>
          <w:bCs/>
          <w:sz w:val="24"/>
          <w:szCs w:val="24"/>
          <w:lang w:val="en-GB"/>
        </w:rPr>
        <w:t>UNIVERSAL SAVIOR</w:t>
      </w:r>
      <w:r w:rsidR="00B56B04" w:rsidRPr="00AC7191">
        <w:rPr>
          <w:rFonts w:ascii="Times New Roman" w:hAnsi="Times New Roman" w:cs="Times New Roman"/>
          <w:b/>
          <w:sz w:val="24"/>
          <w:szCs w:val="24"/>
          <w:lang w:val="en-GB"/>
        </w:rPr>
        <w:t xml:space="preserve">: </w:t>
      </w:r>
      <w:r w:rsidR="00B56B04" w:rsidRPr="00AC7191">
        <w:rPr>
          <w:rFonts w:ascii="Times New Roman" w:hAnsi="Times New Roman" w:cs="Times New Roman"/>
          <w:sz w:val="24"/>
          <w:szCs w:val="24"/>
          <w:lang w:val="en-GB"/>
        </w:rPr>
        <w:t>Luke uses about half of Mark, Q, and same material unique to Luke the longest of which is the preface and infancy narratives (Chapters 1-2). Obviously these two chapters are important for identifying what is unique in Luke's Christology. Since Luke incorporates so much of Mark it is not surprising that his Christology is, like Mark, a Resurrection Christology. That is, in the passion, crucifixion, burial and resurrection of Jesus the full meaning of Christ is revealed.</w:t>
      </w:r>
    </w:p>
    <w:p w:rsidR="00003832" w:rsidRDefault="00B56B04" w:rsidP="005D0230">
      <w:pPr>
        <w:spacing w:after="0" w:line="480" w:lineRule="auto"/>
        <w:ind w:right="-64"/>
        <w:jc w:val="both"/>
        <w:rPr>
          <w:rFonts w:ascii="Times New Roman" w:hAnsi="Times New Roman" w:cs="Times New Roman"/>
          <w:sz w:val="24"/>
          <w:szCs w:val="24"/>
          <w:lang w:val="ig-NG"/>
        </w:rPr>
      </w:pPr>
      <w:r w:rsidRPr="00AC7191">
        <w:rPr>
          <w:rFonts w:ascii="Times New Roman" w:hAnsi="Times New Roman" w:cs="Times New Roman"/>
          <w:sz w:val="24"/>
          <w:szCs w:val="24"/>
          <w:lang w:val="en-GB"/>
        </w:rPr>
        <w:lastRenderedPageBreak/>
        <w:t xml:space="preserve">Luke regards Jesus Christ as central to the Gospel; he contextualizes the meaning of Jesus in salvific intention of God. It is a Resurrection Christology. Luke tends to associate the high titles of Christ with the Resurrection. Furthermore there are elements of the “Spirit” Christology. For example, Jesus is united to the Holy Spirit 3:16, 4:14, 4:18, 10:21, 11:13, give the Holy Spirit 7:11 only give good things), 12:12 - The Holy Spirit will teach you. </w:t>
      </w:r>
    </w:p>
    <w:p w:rsidR="00EE6003" w:rsidRDefault="00003832" w:rsidP="005D0230">
      <w:pPr>
        <w:spacing w:after="0" w:line="480" w:lineRule="auto"/>
        <w:ind w:right="26"/>
        <w:jc w:val="both"/>
        <w:rPr>
          <w:rFonts w:ascii="Times New Roman" w:hAnsi="Times New Roman" w:cs="Times New Roman"/>
          <w:sz w:val="24"/>
          <w:szCs w:val="24"/>
          <w:lang w:val="ig-NG"/>
        </w:rPr>
      </w:pPr>
      <w:r w:rsidRPr="004E45E4">
        <w:rPr>
          <w:rFonts w:ascii="Times New Roman" w:hAnsi="Times New Roman" w:cs="Times New Roman"/>
          <w:b/>
          <w:sz w:val="24"/>
          <w:szCs w:val="24"/>
          <w:lang w:val="ig-NG"/>
        </w:rPr>
        <w:t>3.</w:t>
      </w:r>
      <w:r>
        <w:rPr>
          <w:rFonts w:ascii="Times New Roman" w:hAnsi="Times New Roman" w:cs="Times New Roman"/>
          <w:sz w:val="24"/>
          <w:szCs w:val="24"/>
          <w:lang w:val="ig-NG"/>
        </w:rPr>
        <w:tab/>
      </w:r>
      <w:r w:rsidR="00735E05">
        <w:rPr>
          <w:rFonts w:ascii="Times New Roman" w:hAnsi="Times New Roman" w:cs="Times New Roman"/>
          <w:b/>
          <w:bCs/>
          <w:sz w:val="24"/>
          <w:szCs w:val="24"/>
          <w:lang w:val="en-GB"/>
        </w:rPr>
        <w:t>THE</w:t>
      </w:r>
      <w:r w:rsidR="00735E05">
        <w:rPr>
          <w:rFonts w:ascii="Times New Roman" w:hAnsi="Times New Roman" w:cs="Times New Roman"/>
          <w:b/>
          <w:bCs/>
          <w:sz w:val="24"/>
          <w:szCs w:val="24"/>
          <w:lang w:val="ig-NG"/>
        </w:rPr>
        <w:t xml:space="preserve"> </w:t>
      </w:r>
      <w:r w:rsidR="00B56B04" w:rsidRPr="00AC7191">
        <w:rPr>
          <w:rFonts w:ascii="Times New Roman" w:hAnsi="Times New Roman" w:cs="Times New Roman"/>
          <w:b/>
          <w:bCs/>
          <w:sz w:val="24"/>
          <w:szCs w:val="24"/>
          <w:lang w:val="en-GB"/>
        </w:rPr>
        <w:t xml:space="preserve">CHRISTOLOGY OF </w:t>
      </w:r>
      <w:r w:rsidR="00735E05">
        <w:rPr>
          <w:rFonts w:ascii="Times New Roman" w:hAnsi="Times New Roman" w:cs="Times New Roman"/>
          <w:b/>
          <w:bCs/>
          <w:sz w:val="24"/>
          <w:szCs w:val="24"/>
          <w:lang w:val="en-GB"/>
        </w:rPr>
        <w:t>MATHEW</w:t>
      </w:r>
      <w:r>
        <w:rPr>
          <w:rFonts w:ascii="Times New Roman" w:hAnsi="Times New Roman" w:cs="Times New Roman"/>
          <w:b/>
          <w:bCs/>
          <w:sz w:val="24"/>
          <w:szCs w:val="24"/>
          <w:lang w:val="ig-NG"/>
        </w:rPr>
        <w:t xml:space="preserve">: </w:t>
      </w:r>
      <w:r w:rsidR="00B56B04" w:rsidRPr="00AC7191">
        <w:rPr>
          <w:rFonts w:ascii="Times New Roman" w:hAnsi="Times New Roman" w:cs="Times New Roman"/>
          <w:b/>
          <w:bCs/>
          <w:sz w:val="24"/>
          <w:szCs w:val="24"/>
          <w:lang w:val="en-GB"/>
        </w:rPr>
        <w:t>THE ROYAL MESSIAH AND IMMANUEL:</w:t>
      </w:r>
      <w:r w:rsidR="00735E05">
        <w:rPr>
          <w:rFonts w:ascii="Times New Roman" w:hAnsi="Times New Roman" w:cs="Times New Roman"/>
          <w:b/>
          <w:bCs/>
          <w:sz w:val="24"/>
          <w:szCs w:val="24"/>
          <w:lang w:val="ig-NG"/>
        </w:rPr>
        <w:t xml:space="preserve"> </w:t>
      </w:r>
      <w:r w:rsidR="00B56B04" w:rsidRPr="00AC7191">
        <w:rPr>
          <w:rFonts w:ascii="Times New Roman" w:hAnsi="Times New Roman" w:cs="Times New Roman"/>
          <w:sz w:val="24"/>
          <w:szCs w:val="24"/>
          <w:lang w:val="en-GB"/>
        </w:rPr>
        <w:t xml:space="preserve">Matthew’s Christology is interpreted in relation to the fact that it includes almost the whole of Mark’s Gospel in it. So Mathew continues the traditional Resurrection Christology of the </w:t>
      </w:r>
      <w:r w:rsidR="00735E05" w:rsidRPr="00AC7191">
        <w:rPr>
          <w:rFonts w:ascii="Times New Roman" w:hAnsi="Times New Roman" w:cs="Times New Roman"/>
          <w:sz w:val="24"/>
          <w:szCs w:val="24"/>
          <w:lang w:val="en-GB"/>
        </w:rPr>
        <w:t>Synoptic</w:t>
      </w:r>
      <w:r w:rsidR="00B56B04" w:rsidRPr="00AC7191">
        <w:rPr>
          <w:rFonts w:ascii="Times New Roman" w:hAnsi="Times New Roman" w:cs="Times New Roman"/>
          <w:sz w:val="24"/>
          <w:szCs w:val="24"/>
          <w:lang w:val="en-GB"/>
        </w:rPr>
        <w:t xml:space="preserve">. The original intention and audience of Matthew's work is uncertain. Matthean Christology shows the mindset of </w:t>
      </w:r>
      <w:r w:rsidR="005D0230">
        <w:rPr>
          <w:rFonts w:ascii="Times New Roman" w:hAnsi="Times New Roman" w:cs="Times New Roman"/>
          <w:sz w:val="24"/>
          <w:szCs w:val="24"/>
          <w:lang w:val="en-GB"/>
        </w:rPr>
        <w:t>the first and second generation</w:t>
      </w:r>
      <w:r w:rsidR="005D0230">
        <w:rPr>
          <w:rFonts w:ascii="Times New Roman" w:hAnsi="Times New Roman" w:cs="Times New Roman"/>
          <w:sz w:val="24"/>
          <w:szCs w:val="24"/>
          <w:lang w:val="ig-NG"/>
        </w:rPr>
        <w:t xml:space="preserve"> </w:t>
      </w:r>
      <w:r w:rsidR="00B56B04" w:rsidRPr="00AC7191">
        <w:rPr>
          <w:rFonts w:ascii="Times New Roman" w:hAnsi="Times New Roman" w:cs="Times New Roman"/>
          <w:sz w:val="24"/>
          <w:szCs w:val="24"/>
          <w:lang w:val="en-GB"/>
        </w:rPr>
        <w:t>Christians as the gospel was written aiming them.</w:t>
      </w:r>
      <w:r w:rsidR="00B56B04" w:rsidRPr="00AC7191">
        <w:rPr>
          <w:rStyle w:val="FootnoteReference"/>
          <w:rFonts w:ascii="Times New Roman" w:hAnsi="Times New Roman" w:cs="Times New Roman"/>
          <w:sz w:val="24"/>
          <w:szCs w:val="24"/>
          <w:lang w:val="en-GB"/>
        </w:rPr>
        <w:footnoteReference w:id="2"/>
      </w:r>
      <w:r w:rsidR="00B56B04" w:rsidRPr="00AC7191">
        <w:rPr>
          <w:rFonts w:ascii="Times New Roman" w:hAnsi="Times New Roman" w:cs="Times New Roman"/>
          <w:sz w:val="24"/>
          <w:szCs w:val="24"/>
          <w:lang w:val="en-GB"/>
        </w:rPr>
        <w:t xml:space="preserve">  Matthew presents Jesus - first and foremost the messianic king, the Son of the royal house of David, the Lion of the tribe of Judah. The opening verse of Matthew’s distinctive genealogy indicates the significance of Jesus as that He is not only Messiah but the ‘Son of David’ designated in verse 6 ‘David the King’. Jesus, ‘who is called Christ’ is therefore legally a scion of the ancient royal house of Israel, a ‘Man born to be King’. This note of David‘s son-ship is sounded wit</w:t>
      </w:r>
      <w:r w:rsidR="005D0230">
        <w:rPr>
          <w:rFonts w:ascii="Times New Roman" w:hAnsi="Times New Roman" w:cs="Times New Roman"/>
          <w:sz w:val="24"/>
          <w:szCs w:val="24"/>
          <w:lang w:val="en-GB"/>
        </w:rPr>
        <w:t>h some frequency in the Gospel.</w:t>
      </w:r>
    </w:p>
    <w:p w:rsidR="005D0230" w:rsidRPr="005A4B81" w:rsidRDefault="005D0230" w:rsidP="005D0230">
      <w:pPr>
        <w:spacing w:after="0" w:line="480" w:lineRule="auto"/>
        <w:ind w:left="-180" w:right="-154"/>
        <w:jc w:val="both"/>
        <w:rPr>
          <w:rFonts w:ascii="Times New Roman" w:hAnsi="Times New Roman" w:cs="Times New Roman"/>
          <w:b/>
          <w:sz w:val="32"/>
          <w:szCs w:val="32"/>
          <w:lang w:val="ig-NG"/>
        </w:rPr>
      </w:pPr>
      <w:r w:rsidRPr="00B907DE">
        <w:rPr>
          <w:rFonts w:ascii="Times New Roman" w:hAnsi="Times New Roman" w:cs="Times New Roman"/>
          <w:b/>
          <w:sz w:val="32"/>
          <w:szCs w:val="32"/>
          <w:lang w:val="en-GB"/>
        </w:rPr>
        <w:t xml:space="preserve">QUESTION NO: 1 </w:t>
      </w:r>
      <w:r w:rsidRPr="00B907DE">
        <w:rPr>
          <w:rFonts w:ascii="Times New Roman" w:hAnsi="Times New Roman" w:cs="Times New Roman"/>
          <w:b/>
          <w:sz w:val="32"/>
          <w:szCs w:val="32"/>
          <w:lang w:val="ig-NG"/>
        </w:rPr>
        <w:t>(</w:t>
      </w:r>
      <w:r w:rsidRPr="00B907DE">
        <w:rPr>
          <w:rFonts w:ascii="Times New Roman" w:hAnsi="Times New Roman" w:cs="Times New Roman"/>
          <w:b/>
          <w:sz w:val="32"/>
          <w:szCs w:val="32"/>
          <w:lang w:val="en-GB"/>
        </w:rPr>
        <w:t>COMPULSORY</w:t>
      </w:r>
      <w:r w:rsidRPr="00B907DE">
        <w:rPr>
          <w:rFonts w:ascii="Times New Roman" w:hAnsi="Times New Roman" w:cs="Times New Roman"/>
          <w:b/>
          <w:sz w:val="32"/>
          <w:szCs w:val="32"/>
          <w:lang w:val="ig-NG"/>
        </w:rPr>
        <w:t>)</w:t>
      </w:r>
    </w:p>
    <w:p w:rsidR="00782863" w:rsidRPr="00782863" w:rsidRDefault="005D0230" w:rsidP="00782863">
      <w:pPr>
        <w:spacing w:after="0" w:line="480" w:lineRule="auto"/>
        <w:ind w:left="-180" w:right="-154"/>
        <w:jc w:val="both"/>
        <w:rPr>
          <w:rFonts w:ascii="Times New Roman" w:eastAsia="Times New Roman" w:hAnsi="Times New Roman" w:cs="Times New Roman"/>
          <w:color w:val="231F20"/>
          <w:sz w:val="24"/>
          <w:szCs w:val="24"/>
          <w:lang w:val="ig-NG"/>
        </w:rPr>
      </w:pPr>
      <w:r>
        <w:rPr>
          <w:rFonts w:ascii="Times New Roman" w:hAnsi="Times New Roman" w:cs="Times New Roman"/>
          <w:b/>
          <w:sz w:val="24"/>
          <w:szCs w:val="24"/>
          <w:lang w:val="ig-NG"/>
        </w:rPr>
        <w:t>ANSWER:</w:t>
      </w:r>
      <w:r>
        <w:rPr>
          <w:rFonts w:ascii="Times New Roman" w:hAnsi="Times New Roman" w:cs="Times New Roman"/>
          <w:b/>
          <w:sz w:val="24"/>
          <w:szCs w:val="24"/>
          <w:lang w:val="ig-NG"/>
        </w:rPr>
        <w:tab/>
      </w:r>
      <w:r w:rsidRPr="00B907DE">
        <w:rPr>
          <w:rFonts w:ascii="Times New Roman" w:hAnsi="Times New Roman" w:cs="Times New Roman"/>
          <w:b/>
          <w:sz w:val="24"/>
          <w:szCs w:val="24"/>
          <w:lang w:val="ig-NG"/>
        </w:rPr>
        <w:t>INTRODUCTIN</w:t>
      </w:r>
      <w:r>
        <w:rPr>
          <w:rFonts w:ascii="Times New Roman" w:hAnsi="Times New Roman" w:cs="Times New Roman"/>
          <w:b/>
          <w:sz w:val="24"/>
          <w:szCs w:val="24"/>
          <w:lang w:val="ig-NG"/>
        </w:rPr>
        <w:t>:</w:t>
      </w:r>
      <w:r>
        <w:rPr>
          <w:rFonts w:ascii="Times New Roman" w:hAnsi="Times New Roman" w:cs="Times New Roman"/>
          <w:sz w:val="24"/>
          <w:szCs w:val="24"/>
          <w:lang w:val="ig-NG"/>
        </w:rPr>
        <w:t xml:space="preserve"> </w:t>
      </w:r>
      <w:r w:rsidRPr="00AC7191">
        <w:rPr>
          <w:rFonts w:ascii="Times New Roman" w:hAnsi="Times New Roman" w:cs="Times New Roman"/>
          <w:sz w:val="24"/>
          <w:szCs w:val="24"/>
          <w:lang w:val="en-GB"/>
        </w:rPr>
        <w:t xml:space="preserve">The study of what some call ‘The theology of the New Testament’ has generally a potential central position within New Testament studies. In other to illustrate some of the problems involved in this discipline, Rowland and Tuckett, among other questions asked “Is there such an entity as ‘New Testament theology”? Our yes to the question of the existence of New Testament Theology, is considered by the fact that the NTT has a </w:t>
      </w:r>
      <w:r w:rsidRPr="00AC7191">
        <w:rPr>
          <w:rFonts w:ascii="Times New Roman" w:hAnsi="Times New Roman" w:cs="Times New Roman"/>
          <w:sz w:val="24"/>
          <w:szCs w:val="24"/>
          <w:lang w:val="en-GB"/>
        </w:rPr>
        <w:lastRenderedPageBreak/>
        <w:t xml:space="preserve">definition, history, nature, task and method. These five concepts give us the affirmation that the New Testament Theology exist. </w:t>
      </w:r>
      <w:r w:rsidR="0078626C" w:rsidRPr="00AC7191">
        <w:rPr>
          <w:rFonts w:ascii="Times New Roman" w:hAnsi="Times New Roman" w:cs="Times New Roman"/>
          <w:b/>
          <w:sz w:val="24"/>
          <w:szCs w:val="24"/>
          <w:lang w:val="en-GB"/>
        </w:rPr>
        <w:t xml:space="preserve">DEFINITION OF </w:t>
      </w:r>
      <w:r w:rsidRPr="00AC7191">
        <w:rPr>
          <w:rFonts w:ascii="Times New Roman" w:hAnsi="Times New Roman" w:cs="Times New Roman"/>
          <w:b/>
          <w:sz w:val="24"/>
          <w:szCs w:val="24"/>
          <w:lang w:val="en-GB"/>
        </w:rPr>
        <w:t xml:space="preserve">NTT: </w:t>
      </w:r>
      <w:r w:rsidRPr="00AC7191">
        <w:rPr>
          <w:rFonts w:ascii="Times New Roman" w:hAnsi="Times New Roman" w:cs="Times New Roman"/>
          <w:sz w:val="24"/>
          <w:szCs w:val="24"/>
          <w:lang w:val="en-GB"/>
        </w:rPr>
        <w:t>According to Donald Arthur Carson, the New Testament is above all a theology; it is a discourse about God. Although through Jesus God revealed Himself. So the New Testament Theology is not to be reduced to the Jewish or Christian religion. It is a theology not a religion.</w:t>
      </w:r>
      <w:r w:rsidRPr="00AC7191">
        <w:rPr>
          <w:rStyle w:val="FootnoteReference"/>
          <w:rFonts w:ascii="Times New Roman" w:hAnsi="Times New Roman" w:cs="Times New Roman"/>
          <w:sz w:val="24"/>
          <w:szCs w:val="24"/>
          <w:lang w:val="en-GB"/>
        </w:rPr>
        <w:footnoteReference w:id="3"/>
      </w:r>
      <w:r w:rsidRPr="00AC7191">
        <w:rPr>
          <w:rFonts w:ascii="Times New Roman" w:hAnsi="Times New Roman" w:cs="Times New Roman"/>
          <w:sz w:val="24"/>
          <w:szCs w:val="24"/>
          <w:lang w:val="en-GB"/>
        </w:rPr>
        <w:t xml:space="preserve"> This is true in line with the position of John Ashton who said that, New Testament theology means “an interpretation of the NT designed to be religiously significant to present-day readers”</w:t>
      </w:r>
      <w:r w:rsidRPr="00AC7191">
        <w:rPr>
          <w:rStyle w:val="FootnoteReference"/>
          <w:rFonts w:ascii="Times New Roman" w:hAnsi="Times New Roman" w:cs="Times New Roman"/>
          <w:sz w:val="24"/>
          <w:szCs w:val="24"/>
          <w:lang w:val="en-GB"/>
        </w:rPr>
        <w:footnoteReference w:id="4"/>
      </w:r>
      <w:r w:rsidRPr="00AC7191">
        <w:rPr>
          <w:rFonts w:ascii="Times New Roman" w:hAnsi="Times New Roman" w:cs="Times New Roman"/>
          <w:sz w:val="24"/>
          <w:szCs w:val="24"/>
          <w:lang w:val="en-GB"/>
        </w:rPr>
        <w:t xml:space="preserve"> some authors said that New Testament Theology is not an introduction to the New Testament or a history of its literature rather the discipline should investigate the relevance of the New Testament writings for the Christian faith.</w:t>
      </w:r>
      <w:r>
        <w:rPr>
          <w:rFonts w:ascii="Times New Roman" w:hAnsi="Times New Roman" w:cs="Times New Roman"/>
          <w:sz w:val="24"/>
          <w:szCs w:val="24"/>
          <w:lang w:val="ig-NG"/>
        </w:rPr>
        <w:t xml:space="preserve"> Hence</w:t>
      </w:r>
      <w:r w:rsidRPr="00AC7191">
        <w:rPr>
          <w:rFonts w:ascii="Times New Roman" w:hAnsi="Times New Roman" w:cs="Times New Roman"/>
          <w:sz w:val="24"/>
          <w:szCs w:val="24"/>
          <w:lang w:val="en-GB"/>
        </w:rPr>
        <w:t xml:space="preserve"> NT theologies continue to be produced, and monographs appear on particular aspects of NT theology. Donahue narrated that surveying a number of theologies produced in the last 40 years, there are more works written by Catholic and protestant scholars on NT theologies.</w:t>
      </w:r>
      <w:r w:rsidRPr="00AC7191">
        <w:rPr>
          <w:rStyle w:val="FootnoteReference"/>
          <w:rFonts w:ascii="Times New Roman" w:hAnsi="Times New Roman" w:cs="Times New Roman"/>
          <w:sz w:val="24"/>
          <w:szCs w:val="24"/>
          <w:lang w:val="en-GB"/>
        </w:rPr>
        <w:footnoteReference w:id="5"/>
      </w:r>
      <w:r w:rsidRPr="00AC7191">
        <w:rPr>
          <w:rFonts w:ascii="Times New Roman" w:hAnsi="Times New Roman" w:cs="Times New Roman"/>
          <w:sz w:val="24"/>
          <w:szCs w:val="24"/>
          <w:lang w:val="en-GB"/>
        </w:rPr>
        <w:t xml:space="preserve"> Also Peter Balla, defended the discipline of NTT, by clarifying that the historical study does not exclude the study of theology if the definition of theology is understood broadly enough; for him, NT Theology is a descriptive, historical enterprise that deals with the canonical writings of the NT. </w:t>
      </w:r>
      <w:r w:rsidR="0078626C" w:rsidRPr="00AC7191">
        <w:rPr>
          <w:rFonts w:ascii="Times New Roman" w:hAnsi="Times New Roman" w:cs="Times New Roman"/>
          <w:b/>
          <w:sz w:val="24"/>
          <w:szCs w:val="24"/>
          <w:lang w:val="en-GB"/>
        </w:rPr>
        <w:t>IN TERMINATION</w:t>
      </w:r>
      <w:r w:rsidR="0078626C" w:rsidRPr="00AC7191">
        <w:rPr>
          <w:rFonts w:ascii="Times New Roman" w:hAnsi="Times New Roman" w:cs="Times New Roman"/>
          <w:sz w:val="24"/>
          <w:szCs w:val="24"/>
          <w:lang w:val="en-GB"/>
        </w:rPr>
        <w:t xml:space="preserve">, </w:t>
      </w:r>
      <w:r w:rsidR="001A03E4">
        <w:rPr>
          <w:rFonts w:ascii="Times New Roman" w:hAnsi="Times New Roman" w:cs="Times New Roman"/>
          <w:sz w:val="24"/>
          <w:szCs w:val="24"/>
          <w:lang w:val="ig-NG"/>
        </w:rPr>
        <w:t>we</w:t>
      </w:r>
      <w:r w:rsidRPr="00AC7191">
        <w:rPr>
          <w:rFonts w:ascii="Times New Roman" w:hAnsi="Times New Roman" w:cs="Times New Roman"/>
          <w:sz w:val="24"/>
          <w:szCs w:val="24"/>
          <w:lang w:val="en-GB"/>
        </w:rPr>
        <w:t xml:space="preserve"> argument </w:t>
      </w:r>
      <w:r w:rsidR="001A03E4">
        <w:rPr>
          <w:rFonts w:ascii="Times New Roman" w:hAnsi="Times New Roman" w:cs="Times New Roman"/>
          <w:sz w:val="24"/>
          <w:szCs w:val="24"/>
          <w:lang w:val="ig-NG"/>
        </w:rPr>
        <w:t>that</w:t>
      </w:r>
      <w:r w:rsidRPr="00AC7191">
        <w:rPr>
          <w:rFonts w:ascii="Times New Roman" w:hAnsi="Times New Roman" w:cs="Times New Roman"/>
          <w:sz w:val="24"/>
          <w:szCs w:val="24"/>
          <w:lang w:val="en-GB"/>
        </w:rPr>
        <w:t xml:space="preserve"> the existence of New Testament Theology centres on the fact that there is a deeper understanding of its definition, history, nature, task and method, even though we did not go into further explanation of these concepts, the accounts of  Donahue J.R and Peter Bella as mentioned gives a prove to our position, although they are just few among other scholars who defended t</w:t>
      </w:r>
      <w:r>
        <w:rPr>
          <w:rFonts w:ascii="Times New Roman" w:hAnsi="Times New Roman" w:cs="Times New Roman"/>
          <w:sz w:val="24"/>
          <w:szCs w:val="24"/>
          <w:lang w:val="en-GB"/>
        </w:rPr>
        <w:t>he identity of this discipline,</w:t>
      </w:r>
      <w:r>
        <w:rPr>
          <w:rFonts w:ascii="Times New Roman" w:hAnsi="Times New Roman" w:cs="Times New Roman"/>
          <w:sz w:val="24"/>
          <w:szCs w:val="24"/>
          <w:lang w:val="ig-NG"/>
        </w:rPr>
        <w:t xml:space="preserve"> </w:t>
      </w:r>
      <w:r w:rsidRPr="00AC7191">
        <w:rPr>
          <w:rFonts w:ascii="Times New Roman" w:hAnsi="Times New Roman" w:cs="Times New Roman"/>
          <w:sz w:val="24"/>
          <w:szCs w:val="24"/>
          <w:lang w:val="en-GB"/>
        </w:rPr>
        <w:t xml:space="preserve">for example </w:t>
      </w:r>
      <w:proofErr w:type="spellStart"/>
      <w:r w:rsidRPr="00AC7191">
        <w:rPr>
          <w:rFonts w:ascii="Times New Roman" w:eastAsia="Times New Roman" w:hAnsi="Times New Roman" w:cs="Times New Roman"/>
          <w:color w:val="231F20"/>
          <w:sz w:val="24"/>
          <w:szCs w:val="24"/>
          <w:lang w:val="en-GB"/>
        </w:rPr>
        <w:t>Wendel</w:t>
      </w:r>
      <w:proofErr w:type="spellEnd"/>
      <w:r w:rsidRPr="00AC7191">
        <w:rPr>
          <w:rFonts w:ascii="Times New Roman" w:eastAsia="Times New Roman" w:hAnsi="Times New Roman" w:cs="Times New Roman"/>
          <w:color w:val="231F20"/>
          <w:sz w:val="24"/>
          <w:szCs w:val="24"/>
          <w:lang w:val="en-GB"/>
        </w:rPr>
        <w:t xml:space="preserve"> Sun, pointed out his observations on the extraordinary explosion in the publication of New Testament theologies, this also </w:t>
      </w:r>
      <w:r>
        <w:rPr>
          <w:rFonts w:ascii="Times New Roman" w:eastAsia="Times New Roman" w:hAnsi="Times New Roman" w:cs="Times New Roman"/>
          <w:color w:val="231F20"/>
          <w:sz w:val="24"/>
          <w:szCs w:val="24"/>
          <w:lang w:val="ig-NG"/>
        </w:rPr>
        <w:t>affirms</w:t>
      </w:r>
      <w:r w:rsidRPr="00AC7191">
        <w:rPr>
          <w:rFonts w:ascii="Times New Roman" w:eastAsia="Times New Roman" w:hAnsi="Times New Roman" w:cs="Times New Roman"/>
          <w:color w:val="231F20"/>
          <w:sz w:val="24"/>
          <w:szCs w:val="24"/>
          <w:lang w:val="en-GB"/>
        </w:rPr>
        <w:t xml:space="preserve"> </w:t>
      </w:r>
      <w:r>
        <w:rPr>
          <w:rFonts w:ascii="Times New Roman" w:eastAsia="Times New Roman" w:hAnsi="Times New Roman" w:cs="Times New Roman"/>
          <w:color w:val="231F20"/>
          <w:sz w:val="24"/>
          <w:szCs w:val="24"/>
          <w:lang w:val="ig-NG"/>
        </w:rPr>
        <w:t xml:space="preserve">that new testament theology </w:t>
      </w:r>
      <w:r w:rsidRPr="00AC7191">
        <w:rPr>
          <w:rFonts w:ascii="Times New Roman" w:eastAsia="Times New Roman" w:hAnsi="Times New Roman" w:cs="Times New Roman"/>
          <w:color w:val="231F20"/>
          <w:sz w:val="24"/>
          <w:szCs w:val="24"/>
          <w:lang w:val="en-GB"/>
        </w:rPr>
        <w:t>exist.</w:t>
      </w:r>
    </w:p>
    <w:sectPr w:rsidR="00782863" w:rsidRPr="00782863" w:rsidSect="00782863">
      <w:headerReference w:type="default" r:id="rId7"/>
      <w:pgSz w:w="11906" w:h="16838"/>
      <w:pgMar w:top="162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BDA" w:rsidRDefault="00D27BDA" w:rsidP="00770DA9">
      <w:pPr>
        <w:spacing w:after="0" w:line="240" w:lineRule="auto"/>
      </w:pPr>
      <w:r>
        <w:separator/>
      </w:r>
    </w:p>
  </w:endnote>
  <w:endnote w:type="continuationSeparator" w:id="0">
    <w:p w:rsidR="00D27BDA" w:rsidRDefault="00D27BDA" w:rsidP="00770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BDA" w:rsidRDefault="00D27BDA" w:rsidP="00770DA9">
      <w:pPr>
        <w:spacing w:after="0" w:line="240" w:lineRule="auto"/>
      </w:pPr>
      <w:r>
        <w:separator/>
      </w:r>
    </w:p>
  </w:footnote>
  <w:footnote w:type="continuationSeparator" w:id="0">
    <w:p w:rsidR="00D27BDA" w:rsidRDefault="00D27BDA" w:rsidP="00770DA9">
      <w:pPr>
        <w:spacing w:after="0" w:line="240" w:lineRule="auto"/>
      </w:pPr>
      <w:r>
        <w:continuationSeparator/>
      </w:r>
    </w:p>
  </w:footnote>
  <w:footnote w:id="1">
    <w:p w:rsidR="00B56B04" w:rsidRPr="00A0109E" w:rsidRDefault="00B56B04" w:rsidP="00A0109E">
      <w:pPr>
        <w:pStyle w:val="FootnoteText"/>
        <w:jc w:val="both"/>
        <w:rPr>
          <w:rFonts w:ascii="Times New Roman" w:hAnsi="Times New Roman" w:cs="Times New Roman"/>
        </w:rPr>
      </w:pPr>
      <w:r w:rsidRPr="00A0109E">
        <w:rPr>
          <w:rStyle w:val="FootnoteReference"/>
          <w:rFonts w:ascii="Times New Roman" w:hAnsi="Times New Roman" w:cs="Times New Roman"/>
        </w:rPr>
        <w:footnoteRef/>
      </w:r>
      <w:r w:rsidRPr="00A0109E">
        <w:rPr>
          <w:rFonts w:ascii="Times New Roman" w:hAnsi="Times New Roman" w:cs="Times New Roman"/>
        </w:rPr>
        <w:t xml:space="preserve"> </w:t>
      </w:r>
      <w:r w:rsidR="00A0109E" w:rsidRPr="00A0109E">
        <w:rPr>
          <w:rFonts w:ascii="Times New Roman" w:hAnsi="Times New Roman" w:cs="Times New Roman"/>
          <w:lang w:val="ig-NG"/>
        </w:rPr>
        <w:t xml:space="preserve"> </w:t>
      </w:r>
      <w:r w:rsidRPr="00A0109E">
        <w:rPr>
          <w:rFonts w:ascii="Times New Roman" w:hAnsi="Times New Roman" w:cs="Times New Roman"/>
        </w:rPr>
        <w:t xml:space="preserve">Cf. J.D. Kingsbury, </w:t>
      </w:r>
      <w:r w:rsidRPr="00A0109E">
        <w:rPr>
          <w:rFonts w:ascii="Times New Roman" w:hAnsi="Times New Roman" w:cs="Times New Roman"/>
          <w:i/>
          <w:iCs/>
        </w:rPr>
        <w:t xml:space="preserve">Jesus Christ in Matthew, Mark and Luke </w:t>
      </w:r>
      <w:r w:rsidRPr="00A0109E">
        <w:rPr>
          <w:rFonts w:ascii="Times New Roman" w:hAnsi="Times New Roman" w:cs="Times New Roman"/>
        </w:rPr>
        <w:t xml:space="preserve">(Westminster, 1981), </w:t>
      </w:r>
      <w:r w:rsidR="00A0109E" w:rsidRPr="00A0109E">
        <w:rPr>
          <w:rFonts w:ascii="Times New Roman" w:hAnsi="Times New Roman" w:cs="Times New Roman"/>
          <w:lang w:val="ig-NG"/>
        </w:rPr>
        <w:t xml:space="preserve">p. </w:t>
      </w:r>
      <w:r w:rsidRPr="00A0109E">
        <w:rPr>
          <w:rFonts w:ascii="Times New Roman" w:hAnsi="Times New Roman" w:cs="Times New Roman"/>
        </w:rPr>
        <w:t>37.</w:t>
      </w:r>
    </w:p>
  </w:footnote>
  <w:footnote w:id="2">
    <w:p w:rsidR="00B56B04" w:rsidRPr="00A0109E" w:rsidRDefault="00B56B04" w:rsidP="00A0109E">
      <w:pPr>
        <w:pStyle w:val="FootnoteText"/>
        <w:jc w:val="both"/>
        <w:rPr>
          <w:rFonts w:ascii="Times New Roman" w:hAnsi="Times New Roman" w:cs="Times New Roman"/>
        </w:rPr>
      </w:pPr>
      <w:r w:rsidRPr="00A0109E">
        <w:rPr>
          <w:rStyle w:val="FootnoteReference"/>
          <w:rFonts w:ascii="Times New Roman" w:hAnsi="Times New Roman" w:cs="Times New Roman"/>
        </w:rPr>
        <w:footnoteRef/>
      </w:r>
      <w:r w:rsidRPr="00A0109E">
        <w:rPr>
          <w:rFonts w:ascii="Times New Roman" w:hAnsi="Times New Roman" w:cs="Times New Roman"/>
        </w:rPr>
        <w:t xml:space="preserve"> </w:t>
      </w:r>
      <w:r w:rsidR="00A0109E" w:rsidRPr="00A0109E">
        <w:rPr>
          <w:rFonts w:ascii="Times New Roman" w:hAnsi="Times New Roman" w:cs="Times New Roman"/>
          <w:lang w:val="ig-NG"/>
        </w:rPr>
        <w:t xml:space="preserve"> Cf. </w:t>
      </w:r>
      <w:r w:rsidRPr="00A0109E">
        <w:rPr>
          <w:rFonts w:ascii="Times New Roman" w:hAnsi="Times New Roman" w:cs="Times New Roman"/>
        </w:rPr>
        <w:t xml:space="preserve">C.I. David Joy, </w:t>
      </w:r>
      <w:r w:rsidRPr="00A0109E">
        <w:rPr>
          <w:rFonts w:ascii="Times New Roman" w:hAnsi="Times New Roman" w:cs="Times New Roman"/>
          <w:i/>
          <w:iCs/>
        </w:rPr>
        <w:t xml:space="preserve">Christology Re-Visited-Profiles and Prospects </w:t>
      </w:r>
      <w:r w:rsidRPr="00A0109E">
        <w:rPr>
          <w:rFonts w:ascii="Times New Roman" w:hAnsi="Times New Roman" w:cs="Times New Roman"/>
        </w:rPr>
        <w:t xml:space="preserve">(ATC </w:t>
      </w:r>
      <w:r w:rsidR="00A0109E" w:rsidRPr="00A0109E">
        <w:rPr>
          <w:rFonts w:ascii="Times New Roman" w:hAnsi="Times New Roman" w:cs="Times New Roman"/>
        </w:rPr>
        <w:t>Publications:</w:t>
      </w:r>
      <w:r w:rsidRPr="00A0109E">
        <w:rPr>
          <w:rFonts w:ascii="Times New Roman" w:hAnsi="Times New Roman" w:cs="Times New Roman"/>
        </w:rPr>
        <w:t xml:space="preserve"> Bangalore, 2010),</w:t>
      </w:r>
      <w:r w:rsidR="00A0109E" w:rsidRPr="00A0109E">
        <w:rPr>
          <w:rFonts w:ascii="Times New Roman" w:hAnsi="Times New Roman" w:cs="Times New Roman"/>
          <w:lang w:val="ig-NG"/>
        </w:rPr>
        <w:t xml:space="preserve"> p. </w:t>
      </w:r>
      <w:r w:rsidRPr="00A0109E">
        <w:rPr>
          <w:rFonts w:ascii="Times New Roman" w:hAnsi="Times New Roman" w:cs="Times New Roman"/>
        </w:rPr>
        <w:t>39.</w:t>
      </w:r>
    </w:p>
  </w:footnote>
  <w:footnote w:id="3">
    <w:p w:rsidR="005D0230" w:rsidRPr="00A0109E" w:rsidRDefault="005D0230" w:rsidP="005D0230">
      <w:pPr>
        <w:spacing w:after="0"/>
        <w:jc w:val="both"/>
        <w:rPr>
          <w:rFonts w:ascii="Times New Roman" w:hAnsi="Times New Roman" w:cs="Times New Roman"/>
          <w:sz w:val="20"/>
          <w:szCs w:val="20"/>
        </w:rPr>
      </w:pPr>
      <w:r w:rsidRPr="00A0109E">
        <w:rPr>
          <w:rStyle w:val="FootnoteReference"/>
          <w:rFonts w:ascii="Times New Roman" w:hAnsi="Times New Roman" w:cs="Times New Roman"/>
          <w:sz w:val="20"/>
          <w:szCs w:val="20"/>
        </w:rPr>
        <w:footnoteRef/>
      </w:r>
      <w:r w:rsidRPr="00A0109E">
        <w:rPr>
          <w:rFonts w:ascii="Times New Roman" w:hAnsi="Times New Roman" w:cs="Times New Roman"/>
          <w:sz w:val="20"/>
          <w:szCs w:val="20"/>
        </w:rPr>
        <w:t xml:space="preserve"> Cf. Donald Arthur Carson, An Article on “</w:t>
      </w:r>
      <w:r w:rsidRPr="00A0109E">
        <w:rPr>
          <w:rFonts w:ascii="Times New Roman" w:hAnsi="Times New Roman" w:cs="Times New Roman"/>
          <w:i/>
          <w:sz w:val="20"/>
          <w:szCs w:val="20"/>
        </w:rPr>
        <w:t>New Testament Theology</w:t>
      </w:r>
      <w:r w:rsidRPr="00A0109E">
        <w:rPr>
          <w:rFonts w:ascii="Times New Roman" w:hAnsi="Times New Roman" w:cs="Times New Roman"/>
          <w:sz w:val="20"/>
          <w:szCs w:val="20"/>
        </w:rPr>
        <w:t>”, in Dictionary of the later NT and its Development, 1997, p. 805-806</w:t>
      </w:r>
    </w:p>
  </w:footnote>
  <w:footnote w:id="4">
    <w:p w:rsidR="005D0230" w:rsidRPr="00A0109E" w:rsidRDefault="005D0230" w:rsidP="005D0230">
      <w:pPr>
        <w:pStyle w:val="FootnoteText"/>
        <w:jc w:val="both"/>
        <w:rPr>
          <w:rFonts w:ascii="Times New Roman" w:hAnsi="Times New Roman" w:cs="Times New Roman"/>
        </w:rPr>
      </w:pPr>
      <w:r w:rsidRPr="00A0109E">
        <w:rPr>
          <w:rStyle w:val="FootnoteReference"/>
          <w:rFonts w:ascii="Times New Roman" w:hAnsi="Times New Roman" w:cs="Times New Roman"/>
        </w:rPr>
        <w:footnoteRef/>
      </w:r>
      <w:r w:rsidRPr="00A0109E">
        <w:rPr>
          <w:rFonts w:ascii="Times New Roman" w:hAnsi="Times New Roman" w:cs="Times New Roman"/>
        </w:rPr>
        <w:t xml:space="preserve"> </w:t>
      </w:r>
      <w:r w:rsidRPr="00A0109E">
        <w:rPr>
          <w:rFonts w:ascii="Times New Roman" w:hAnsi="Times New Roman" w:cs="Times New Roman"/>
          <w:lang w:val="ig-NG"/>
        </w:rPr>
        <w:t xml:space="preserve"> Cf. </w:t>
      </w:r>
      <w:r w:rsidRPr="00A0109E">
        <w:rPr>
          <w:rFonts w:ascii="Times New Roman" w:hAnsi="Times New Roman" w:cs="Times New Roman"/>
        </w:rPr>
        <w:t xml:space="preserve">John Ashton, </w:t>
      </w:r>
      <w:r w:rsidRPr="00A0109E">
        <w:rPr>
          <w:rFonts w:ascii="Times New Roman" w:hAnsi="Times New Roman" w:cs="Times New Roman"/>
          <w:lang w:val="ig-NG"/>
        </w:rPr>
        <w:t>“</w:t>
      </w:r>
      <w:r w:rsidRPr="00A0109E">
        <w:rPr>
          <w:rFonts w:ascii="Times New Roman" w:hAnsi="Times New Roman" w:cs="Times New Roman"/>
          <w:i/>
        </w:rPr>
        <w:t>History and Theology in New Testament Studies</w:t>
      </w:r>
      <w:r w:rsidRPr="00A0109E">
        <w:rPr>
          <w:rFonts w:ascii="Times New Roman" w:hAnsi="Times New Roman" w:cs="Times New Roman"/>
          <w:lang w:val="ig-NG"/>
        </w:rPr>
        <w:t>”</w:t>
      </w:r>
      <w:r w:rsidRPr="00A0109E">
        <w:rPr>
          <w:rFonts w:ascii="Times New Roman" w:hAnsi="Times New Roman" w:cs="Times New Roman"/>
        </w:rPr>
        <w:t>, in The nature of NTT (2006), p. 2</w:t>
      </w:r>
    </w:p>
  </w:footnote>
  <w:footnote w:id="5">
    <w:p w:rsidR="005D0230" w:rsidRPr="00A0109E" w:rsidRDefault="005D0230" w:rsidP="005D0230">
      <w:pPr>
        <w:pStyle w:val="FootnoteText"/>
        <w:jc w:val="both"/>
        <w:rPr>
          <w:rFonts w:ascii="Times New Roman" w:hAnsi="Times New Roman" w:cs="Times New Roman"/>
        </w:rPr>
      </w:pPr>
      <w:r w:rsidRPr="00A0109E">
        <w:rPr>
          <w:rStyle w:val="FootnoteReference"/>
          <w:rFonts w:ascii="Times New Roman" w:hAnsi="Times New Roman" w:cs="Times New Roman"/>
        </w:rPr>
        <w:footnoteRef/>
      </w:r>
      <w:r w:rsidRPr="00A0109E">
        <w:rPr>
          <w:rFonts w:ascii="Times New Roman" w:hAnsi="Times New Roman" w:cs="Times New Roman"/>
        </w:rPr>
        <w:t xml:space="preserve"> </w:t>
      </w:r>
      <w:r w:rsidRPr="00A0109E">
        <w:rPr>
          <w:rFonts w:ascii="Times New Roman" w:hAnsi="Times New Roman" w:cs="Times New Roman"/>
          <w:lang w:val="ig-NG"/>
        </w:rPr>
        <w:t xml:space="preserve"> Cf. </w:t>
      </w:r>
      <w:r w:rsidRPr="00A0109E">
        <w:rPr>
          <w:rFonts w:ascii="Times New Roman" w:hAnsi="Times New Roman" w:cs="Times New Roman"/>
        </w:rPr>
        <w:t>DONAHUE J. R., “</w:t>
      </w:r>
      <w:r w:rsidRPr="00A0109E">
        <w:rPr>
          <w:rFonts w:ascii="Times New Roman" w:hAnsi="Times New Roman" w:cs="Times New Roman"/>
          <w:i/>
        </w:rPr>
        <w:t>The changing shape of New Testament Theology</w:t>
      </w:r>
      <w:r w:rsidRPr="00A0109E">
        <w:rPr>
          <w:rFonts w:ascii="Times New Roman" w:hAnsi="Times New Roman" w:cs="Times New Roman"/>
        </w:rPr>
        <w:t>”, Theological Studies 50 (1989), p. 315-317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45782"/>
      <w:docPartObj>
        <w:docPartGallery w:val="Page Numbers (Top of Page)"/>
        <w:docPartUnique/>
      </w:docPartObj>
    </w:sdtPr>
    <w:sdtContent>
      <w:p w:rsidR="002F1456" w:rsidRDefault="00543C25" w:rsidP="005A4B81">
        <w:pPr>
          <w:pStyle w:val="Header"/>
        </w:pPr>
        <w:r>
          <w:rPr>
            <w:rFonts w:ascii="Times New Roman" w:hAnsi="Times New Roman" w:cs="Times New Roman"/>
            <w:b/>
            <w:sz w:val="24"/>
            <w:szCs w:val="24"/>
            <w:lang w:val="ig-NG"/>
          </w:rPr>
          <w:t xml:space="preserve">AKWUBO JOHN PAUL C. </w:t>
        </w:r>
        <w:r>
          <w:rPr>
            <w:rFonts w:ascii="Times New Roman" w:hAnsi="Times New Roman" w:cs="Times New Roman"/>
            <w:b/>
            <w:sz w:val="24"/>
            <w:szCs w:val="24"/>
            <w:lang w:val="ig-NG"/>
          </w:rPr>
          <w:tab/>
          <w:t xml:space="preserve">                       </w:t>
        </w:r>
        <w:r w:rsidR="00FB348E">
          <w:rPr>
            <w:rFonts w:ascii="Times New Roman" w:hAnsi="Times New Roman" w:cs="Times New Roman"/>
            <w:b/>
            <w:sz w:val="24"/>
            <w:szCs w:val="24"/>
            <w:lang w:val="ig-NG"/>
          </w:rPr>
          <w:t xml:space="preserve">                                         </w:t>
        </w:r>
        <w:r>
          <w:rPr>
            <w:rFonts w:ascii="Times New Roman" w:hAnsi="Times New Roman" w:cs="Times New Roman"/>
            <w:b/>
            <w:sz w:val="24"/>
            <w:szCs w:val="24"/>
            <w:lang w:val="ig-NG"/>
          </w:rPr>
          <w:t xml:space="preserve">MATRIC NO: </w:t>
        </w:r>
        <w:r w:rsidR="005A4B81" w:rsidRPr="005A4B81">
          <w:rPr>
            <w:rFonts w:ascii="Times New Roman" w:hAnsi="Times New Roman" w:cs="Times New Roman"/>
            <w:b/>
            <w:sz w:val="24"/>
            <w:szCs w:val="24"/>
            <w:lang w:val="ig-NG"/>
          </w:rPr>
          <w:t>DI/909</w:t>
        </w:r>
        <w:r>
          <w:rPr>
            <w:rFonts w:ascii="Times New Roman" w:hAnsi="Times New Roman" w:cs="Times New Roman"/>
            <w:b/>
            <w:sz w:val="24"/>
            <w:szCs w:val="24"/>
            <w:lang w:val="ig-NG"/>
          </w:rPr>
          <w:t xml:space="preserve">          </w:t>
        </w:r>
        <w:r w:rsidR="00FB348E">
          <w:rPr>
            <w:rFonts w:ascii="Times New Roman" w:hAnsi="Times New Roman" w:cs="Times New Roman"/>
            <w:b/>
            <w:sz w:val="24"/>
            <w:szCs w:val="24"/>
            <w:lang w:val="ig-NG"/>
          </w:rPr>
          <w:t xml:space="preserve">                 THEO:3,   </w:t>
        </w:r>
        <w:r>
          <w:rPr>
            <w:rFonts w:ascii="Times New Roman" w:hAnsi="Times New Roman" w:cs="Times New Roman"/>
            <w:b/>
            <w:sz w:val="24"/>
            <w:szCs w:val="24"/>
            <w:lang w:val="ig-NG"/>
          </w:rPr>
          <w:t xml:space="preserve">EXAM:   ON </w:t>
        </w:r>
        <w:r w:rsidR="00FB348E">
          <w:rPr>
            <w:rFonts w:ascii="Times New Roman" w:hAnsi="Times New Roman" w:cs="Times New Roman"/>
            <w:b/>
            <w:sz w:val="24"/>
            <w:szCs w:val="24"/>
            <w:lang w:val="ig-NG"/>
          </w:rPr>
          <w:t xml:space="preserve">THE NEW </w:t>
        </w:r>
        <w:r>
          <w:rPr>
            <w:rFonts w:ascii="Times New Roman" w:hAnsi="Times New Roman" w:cs="Times New Roman"/>
            <w:b/>
            <w:sz w:val="24"/>
            <w:szCs w:val="24"/>
            <w:lang w:val="ig-NG"/>
          </w:rPr>
          <w:t>T</w:t>
        </w:r>
        <w:r w:rsidR="00FB348E">
          <w:rPr>
            <w:rFonts w:ascii="Times New Roman" w:hAnsi="Times New Roman" w:cs="Times New Roman"/>
            <w:b/>
            <w:sz w:val="24"/>
            <w:szCs w:val="24"/>
            <w:lang w:val="ig-NG"/>
          </w:rPr>
          <w:t>ESTAMENT</w:t>
        </w:r>
        <w:r>
          <w:rPr>
            <w:rFonts w:ascii="Times New Roman" w:hAnsi="Times New Roman" w:cs="Times New Roman"/>
            <w:b/>
            <w:sz w:val="24"/>
            <w:szCs w:val="24"/>
            <w:lang w:val="ig-NG"/>
          </w:rPr>
          <w:t xml:space="preserve"> THEOLOGY.</w:t>
        </w:r>
      </w:p>
    </w:sdtContent>
  </w:sdt>
  <w:p w:rsidR="002F1456" w:rsidRDefault="002F14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83494"/>
    <w:multiLevelType w:val="hybridMultilevel"/>
    <w:tmpl w:val="980EDB0A"/>
    <w:lvl w:ilvl="0" w:tplc="F94ECB6C">
      <w:start w:val="1"/>
      <w:numFmt w:val="decimal"/>
      <w:lvlText w:val="%1."/>
      <w:lvlJc w:val="left"/>
      <w:pPr>
        <w:ind w:left="180" w:hanging="360"/>
      </w:pPr>
      <w:rPr>
        <w:rFonts w:hint="default"/>
        <w:b/>
      </w:rPr>
    </w:lvl>
    <w:lvl w:ilvl="1" w:tplc="04700019" w:tentative="1">
      <w:start w:val="1"/>
      <w:numFmt w:val="lowerLetter"/>
      <w:lvlText w:val="%2."/>
      <w:lvlJc w:val="left"/>
      <w:pPr>
        <w:ind w:left="900" w:hanging="360"/>
      </w:pPr>
    </w:lvl>
    <w:lvl w:ilvl="2" w:tplc="0470001B" w:tentative="1">
      <w:start w:val="1"/>
      <w:numFmt w:val="lowerRoman"/>
      <w:lvlText w:val="%3."/>
      <w:lvlJc w:val="right"/>
      <w:pPr>
        <w:ind w:left="1620" w:hanging="180"/>
      </w:pPr>
    </w:lvl>
    <w:lvl w:ilvl="3" w:tplc="0470000F" w:tentative="1">
      <w:start w:val="1"/>
      <w:numFmt w:val="decimal"/>
      <w:lvlText w:val="%4."/>
      <w:lvlJc w:val="left"/>
      <w:pPr>
        <w:ind w:left="2340" w:hanging="360"/>
      </w:pPr>
    </w:lvl>
    <w:lvl w:ilvl="4" w:tplc="04700019" w:tentative="1">
      <w:start w:val="1"/>
      <w:numFmt w:val="lowerLetter"/>
      <w:lvlText w:val="%5."/>
      <w:lvlJc w:val="left"/>
      <w:pPr>
        <w:ind w:left="3060" w:hanging="360"/>
      </w:pPr>
    </w:lvl>
    <w:lvl w:ilvl="5" w:tplc="0470001B" w:tentative="1">
      <w:start w:val="1"/>
      <w:numFmt w:val="lowerRoman"/>
      <w:lvlText w:val="%6."/>
      <w:lvlJc w:val="right"/>
      <w:pPr>
        <w:ind w:left="3780" w:hanging="180"/>
      </w:pPr>
    </w:lvl>
    <w:lvl w:ilvl="6" w:tplc="0470000F" w:tentative="1">
      <w:start w:val="1"/>
      <w:numFmt w:val="decimal"/>
      <w:lvlText w:val="%7."/>
      <w:lvlJc w:val="left"/>
      <w:pPr>
        <w:ind w:left="4500" w:hanging="360"/>
      </w:pPr>
    </w:lvl>
    <w:lvl w:ilvl="7" w:tplc="04700019" w:tentative="1">
      <w:start w:val="1"/>
      <w:numFmt w:val="lowerLetter"/>
      <w:lvlText w:val="%8."/>
      <w:lvlJc w:val="left"/>
      <w:pPr>
        <w:ind w:left="5220" w:hanging="360"/>
      </w:pPr>
    </w:lvl>
    <w:lvl w:ilvl="8" w:tplc="0470001B" w:tentative="1">
      <w:start w:val="1"/>
      <w:numFmt w:val="lowerRoman"/>
      <w:lvlText w:val="%9."/>
      <w:lvlJc w:val="right"/>
      <w:pPr>
        <w:ind w:left="59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footnotePr>
    <w:footnote w:id="-1"/>
    <w:footnote w:id="0"/>
  </w:footnotePr>
  <w:endnotePr>
    <w:endnote w:id="-1"/>
    <w:endnote w:id="0"/>
  </w:endnotePr>
  <w:compat/>
  <w:rsids>
    <w:rsidRoot w:val="00770DA9"/>
    <w:rsid w:val="00003832"/>
    <w:rsid w:val="000C4296"/>
    <w:rsid w:val="00133BB4"/>
    <w:rsid w:val="001A03E4"/>
    <w:rsid w:val="002F1456"/>
    <w:rsid w:val="004E45E4"/>
    <w:rsid w:val="00543C25"/>
    <w:rsid w:val="00584603"/>
    <w:rsid w:val="005971DE"/>
    <w:rsid w:val="005A4B81"/>
    <w:rsid w:val="005D0230"/>
    <w:rsid w:val="005E694E"/>
    <w:rsid w:val="00626ABC"/>
    <w:rsid w:val="00680961"/>
    <w:rsid w:val="006E2E4C"/>
    <w:rsid w:val="00735E05"/>
    <w:rsid w:val="00770DA9"/>
    <w:rsid w:val="00782863"/>
    <w:rsid w:val="0078626C"/>
    <w:rsid w:val="009628A4"/>
    <w:rsid w:val="0098227B"/>
    <w:rsid w:val="00A0109E"/>
    <w:rsid w:val="00A07BEB"/>
    <w:rsid w:val="00AC7191"/>
    <w:rsid w:val="00B33A61"/>
    <w:rsid w:val="00B56B04"/>
    <w:rsid w:val="00B907DE"/>
    <w:rsid w:val="00C443B9"/>
    <w:rsid w:val="00D0064A"/>
    <w:rsid w:val="00D06233"/>
    <w:rsid w:val="00D27BDA"/>
    <w:rsid w:val="00D632A8"/>
    <w:rsid w:val="00D93D0B"/>
    <w:rsid w:val="00EE6003"/>
    <w:rsid w:val="00F3655C"/>
    <w:rsid w:val="00FB348E"/>
    <w:rsid w:val="00FE03DF"/>
  </w:rsids>
  <m:mathPr>
    <m:mathFont m:val="Cambria Math"/>
    <m:brkBin m:val="before"/>
    <m:brkBinSub m:val="--"/>
    <m:smallFrac m:val="off"/>
    <m:dispDef/>
    <m:lMargin m:val="0"/>
    <m:rMargin m:val="0"/>
    <m:defJc m:val="centerGroup"/>
    <m:wrapIndent m:val="1440"/>
    <m:intLim m:val="subSup"/>
    <m:naryLim m:val="undOvr"/>
  </m:mathPr>
  <w:themeFontLang w:val="ig-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0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220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2042"/>
    <w:rPr>
      <w:sz w:val="20"/>
      <w:szCs w:val="20"/>
    </w:rPr>
  </w:style>
  <w:style w:type="character" w:styleId="FootnoteReference">
    <w:name w:val="footnote reference"/>
    <w:basedOn w:val="DefaultParagraphFont"/>
    <w:uiPriority w:val="99"/>
    <w:semiHidden/>
    <w:unhideWhenUsed/>
    <w:rsid w:val="00322042"/>
    <w:rPr>
      <w:vertAlign w:val="superscript"/>
    </w:rPr>
  </w:style>
  <w:style w:type="paragraph" w:styleId="Header">
    <w:name w:val="header"/>
    <w:basedOn w:val="Normal"/>
    <w:link w:val="HeaderChar"/>
    <w:uiPriority w:val="99"/>
    <w:unhideWhenUsed/>
    <w:rsid w:val="002F1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456"/>
  </w:style>
  <w:style w:type="paragraph" w:styleId="Footer">
    <w:name w:val="footer"/>
    <w:basedOn w:val="Normal"/>
    <w:link w:val="FooterChar"/>
    <w:uiPriority w:val="99"/>
    <w:semiHidden/>
    <w:unhideWhenUsed/>
    <w:rsid w:val="002F145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F1456"/>
  </w:style>
  <w:style w:type="paragraph" w:styleId="ListParagraph">
    <w:name w:val="List Paragraph"/>
    <w:basedOn w:val="Normal"/>
    <w:uiPriority w:val="34"/>
    <w:qFormat/>
    <w:rsid w:val="00735E0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813</TotalTime>
  <Pages>3</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2</dc:creator>
  <cp:keywords>theology testament nt discipline study</cp:keywords>
  <dc:description>Comprehensive NT theologies continue to be produced, and monographs appear on particular aspects of NT theology. Question Number (1) “The New Testament Theology” is the title of some academic syllabi (course). It is a theology not a religion. Because within New Testament studies generally, the study of what some call ‘The theology of the New Testament’ has generally a potential central position within New Testament studies. Also Peter Balla, defended the discipline of NTT, by clarifying that the historical study does not exclude the study of theology if the definition of theology is understood broadly enough; for him, NT Theology is a descriptive, historical enterprise that deals with the canonical writings of the NT.</dc:description>
  <cp:lastModifiedBy>ADMIN 2</cp:lastModifiedBy>
  <cp:revision>26</cp:revision>
  <dcterms:created xsi:type="dcterms:W3CDTF">2021-01-30T08:08:00Z</dcterms:created>
  <dcterms:modified xsi:type="dcterms:W3CDTF">2021-02-04T16:38:00Z</dcterms:modified>
</cp:coreProperties>
</file>