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2B95" w:rsidRPr="00AD4C7D" w:rsidRDefault="00AD2B95" w:rsidP="00EF39FF">
      <w:pPr>
        <w:spacing w:line="360" w:lineRule="auto"/>
        <w:jc w:val="both"/>
        <w:rPr>
          <w:rFonts w:ascii="Times New Roman" w:hAnsi="Times New Roman" w:cs="Times New Roman"/>
          <w:b/>
          <w:sz w:val="24"/>
          <w:szCs w:val="24"/>
          <w:lang w:val="es-SV"/>
        </w:rPr>
      </w:pPr>
      <w:r w:rsidRPr="00AD4C7D">
        <w:rPr>
          <w:rFonts w:ascii="Times New Roman" w:hAnsi="Times New Roman" w:cs="Times New Roman"/>
          <w:b/>
          <w:sz w:val="24"/>
          <w:szCs w:val="24"/>
          <w:lang w:val="es-SV"/>
        </w:rPr>
        <w:t>NAME:               PERGENTINO EDJANG MOTU NCHAMA</w:t>
      </w:r>
      <w:r w:rsidR="00AD4C7D" w:rsidRPr="00AD4C7D">
        <w:rPr>
          <w:rFonts w:ascii="Times New Roman" w:hAnsi="Times New Roman" w:cs="Times New Roman"/>
          <w:b/>
          <w:sz w:val="24"/>
          <w:szCs w:val="24"/>
          <w:lang w:val="es-SV"/>
        </w:rPr>
        <w:t>. DI/892</w:t>
      </w:r>
    </w:p>
    <w:p w:rsidR="00D03389" w:rsidRDefault="00D03389" w:rsidP="0073314A">
      <w:pPr>
        <w:spacing w:line="360" w:lineRule="auto"/>
        <w:jc w:val="both"/>
        <w:rPr>
          <w:rFonts w:ascii="Times New Roman" w:hAnsi="Times New Roman" w:cs="Times New Roman"/>
          <w:b/>
          <w:sz w:val="24"/>
          <w:szCs w:val="24"/>
        </w:rPr>
      </w:pPr>
    </w:p>
    <w:p w:rsidR="007A276B" w:rsidRPr="00EF39FF" w:rsidRDefault="00EF39FF" w:rsidP="0073314A">
      <w:pPr>
        <w:spacing w:line="360" w:lineRule="auto"/>
        <w:jc w:val="both"/>
        <w:rPr>
          <w:rFonts w:ascii="Times New Roman" w:hAnsi="Times New Roman" w:cs="Times New Roman"/>
          <w:b/>
          <w:sz w:val="24"/>
          <w:szCs w:val="24"/>
        </w:rPr>
      </w:pPr>
      <w:bookmarkStart w:id="0" w:name="_GoBack"/>
      <w:bookmarkEnd w:id="0"/>
      <w:r w:rsidRPr="00EF39FF">
        <w:rPr>
          <w:rFonts w:ascii="Times New Roman" w:hAnsi="Times New Roman" w:cs="Times New Roman"/>
          <w:b/>
          <w:sz w:val="24"/>
          <w:szCs w:val="24"/>
        </w:rPr>
        <w:t>SUMMARY OF THE ARTICLE</w:t>
      </w:r>
    </w:p>
    <w:p w:rsidR="00F26D3A" w:rsidRDefault="00611AE6" w:rsidP="00FF40D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Unity and Diversity of the NTT has been an object of debate and contradictions for many scholars. </w:t>
      </w:r>
      <w:r w:rsidR="00282298">
        <w:rPr>
          <w:rFonts w:ascii="Times New Roman" w:hAnsi="Times New Roman" w:cs="Times New Roman"/>
          <w:sz w:val="24"/>
          <w:szCs w:val="24"/>
        </w:rPr>
        <w:t>For some scholars like</w:t>
      </w:r>
      <w:r w:rsidR="00BC023E">
        <w:rPr>
          <w:rFonts w:ascii="Times New Roman" w:hAnsi="Times New Roman" w:cs="Times New Roman"/>
          <w:sz w:val="24"/>
          <w:szCs w:val="24"/>
        </w:rPr>
        <w:t xml:space="preserve"> Rä</w:t>
      </w:r>
      <w:r w:rsidR="0005659D">
        <w:rPr>
          <w:rFonts w:ascii="Times New Roman" w:hAnsi="Times New Roman" w:cs="Times New Roman"/>
          <w:sz w:val="24"/>
          <w:szCs w:val="24"/>
        </w:rPr>
        <w:t>is</w:t>
      </w:r>
      <w:r w:rsidR="0005659D">
        <w:rPr>
          <w:rFonts w:ascii="Times New Roman" w:hAnsi="Times New Roman" w:cs="Times New Roman"/>
          <w:sz w:val="24"/>
          <w:szCs w:val="24"/>
        </w:rPr>
        <w:t>ä</w:t>
      </w:r>
      <w:r w:rsidR="007E46C1">
        <w:rPr>
          <w:rFonts w:ascii="Times New Roman" w:hAnsi="Times New Roman" w:cs="Times New Roman"/>
          <w:sz w:val="24"/>
          <w:szCs w:val="24"/>
        </w:rPr>
        <w:t xml:space="preserve">nen and Hatina, </w:t>
      </w:r>
      <w:r w:rsidR="00691322">
        <w:rPr>
          <w:rFonts w:ascii="Times New Roman" w:hAnsi="Times New Roman" w:cs="Times New Roman"/>
          <w:sz w:val="24"/>
          <w:szCs w:val="24"/>
        </w:rPr>
        <w:t>the Unity and Diversity of the NTT is a non-issue, since a unified NTT is neither desirable nor even possible</w:t>
      </w:r>
      <w:r w:rsidR="0005659D">
        <w:rPr>
          <w:rFonts w:ascii="Times New Roman" w:hAnsi="Times New Roman" w:cs="Times New Roman"/>
          <w:sz w:val="24"/>
          <w:szCs w:val="24"/>
        </w:rPr>
        <w:t xml:space="preserve"> </w:t>
      </w:r>
      <w:r w:rsidR="0005659D">
        <w:rPr>
          <w:rFonts w:ascii="Times New Roman" w:hAnsi="Times New Roman" w:cs="Times New Roman"/>
          <w:sz w:val="24"/>
          <w:szCs w:val="24"/>
        </w:rPr>
        <w:t>Räisänen</w:t>
      </w:r>
      <w:r w:rsidR="00844AB7">
        <w:rPr>
          <w:rFonts w:ascii="Times New Roman" w:hAnsi="Times New Roman" w:cs="Times New Roman"/>
          <w:sz w:val="24"/>
          <w:szCs w:val="24"/>
        </w:rPr>
        <w:t xml:space="preserve"> affirms that scholar should avoid all</w:t>
      </w:r>
      <w:r w:rsidR="00373E7B">
        <w:rPr>
          <w:rFonts w:ascii="Times New Roman" w:hAnsi="Times New Roman" w:cs="Times New Roman"/>
          <w:sz w:val="24"/>
          <w:szCs w:val="24"/>
        </w:rPr>
        <w:t xml:space="preserve"> </w:t>
      </w:r>
      <w:r w:rsidR="00844AB7">
        <w:rPr>
          <w:rFonts w:ascii="Times New Roman" w:hAnsi="Times New Roman" w:cs="Times New Roman"/>
          <w:sz w:val="24"/>
          <w:szCs w:val="24"/>
        </w:rPr>
        <w:t xml:space="preserve">theological contributions, instead opting for his historical investigation. In the same line, Hatina gives </w:t>
      </w:r>
      <w:r w:rsidR="00373E7B">
        <w:rPr>
          <w:rFonts w:ascii="Times New Roman" w:hAnsi="Times New Roman" w:cs="Times New Roman"/>
          <w:sz w:val="24"/>
          <w:szCs w:val="24"/>
        </w:rPr>
        <w:t xml:space="preserve">a new different method of approach of NTT in the sense that according to him it is good for theologians to do theological reflections but only in dialogue with wither studies of religions and culture for the purpose of </w:t>
      </w:r>
      <w:proofErr w:type="gramStart"/>
      <w:r w:rsidR="000A33CD">
        <w:rPr>
          <w:rFonts w:ascii="Times New Roman" w:hAnsi="Times New Roman" w:cs="Times New Roman"/>
          <w:sz w:val="24"/>
          <w:szCs w:val="24"/>
        </w:rPr>
        <w:t>contemporaries</w:t>
      </w:r>
      <w:proofErr w:type="gramEnd"/>
      <w:r w:rsidR="000A33CD">
        <w:rPr>
          <w:rFonts w:ascii="Times New Roman" w:hAnsi="Times New Roman" w:cs="Times New Roman"/>
          <w:sz w:val="24"/>
          <w:szCs w:val="24"/>
        </w:rPr>
        <w:t xml:space="preserve"> </w:t>
      </w:r>
      <w:r w:rsidR="0011634A">
        <w:rPr>
          <w:rFonts w:ascii="Times New Roman" w:hAnsi="Times New Roman" w:cs="Times New Roman"/>
          <w:sz w:val="24"/>
          <w:szCs w:val="24"/>
        </w:rPr>
        <w:t>relevances.</w:t>
      </w:r>
      <w:r w:rsidR="000A33CD">
        <w:rPr>
          <w:rFonts w:ascii="Times New Roman" w:hAnsi="Times New Roman" w:cs="Times New Roman"/>
          <w:sz w:val="24"/>
          <w:szCs w:val="24"/>
        </w:rPr>
        <w:t xml:space="preserve"> </w:t>
      </w:r>
      <w:r w:rsidR="00F26D3A">
        <w:rPr>
          <w:rFonts w:ascii="Times New Roman" w:hAnsi="Times New Roman" w:cs="Times New Roman"/>
          <w:sz w:val="24"/>
          <w:szCs w:val="24"/>
        </w:rPr>
        <w:t xml:space="preserve">Nevertheless, in this article number of scholar has critise and rejected this idea of Hatina and </w:t>
      </w:r>
      <w:proofErr w:type="spellStart"/>
      <w:r w:rsidR="00DB1F0E">
        <w:rPr>
          <w:rFonts w:ascii="Times New Roman" w:hAnsi="Times New Roman" w:cs="Times New Roman"/>
          <w:sz w:val="24"/>
          <w:szCs w:val="24"/>
        </w:rPr>
        <w:t>Raisanen</w:t>
      </w:r>
      <w:proofErr w:type="spellEnd"/>
      <w:r w:rsidR="00DB1F0E">
        <w:rPr>
          <w:rFonts w:ascii="Times New Roman" w:hAnsi="Times New Roman" w:cs="Times New Roman"/>
          <w:sz w:val="24"/>
          <w:szCs w:val="24"/>
        </w:rPr>
        <w:t xml:space="preserve"> regarding the allege demise of the NTT.</w:t>
      </w:r>
    </w:p>
    <w:p w:rsidR="00F25629" w:rsidRDefault="00F25629" w:rsidP="00FF40D1">
      <w:pPr>
        <w:spacing w:line="360" w:lineRule="auto"/>
        <w:jc w:val="both"/>
        <w:rPr>
          <w:rFonts w:ascii="Times New Roman" w:hAnsi="Times New Roman" w:cs="Times New Roman"/>
          <w:sz w:val="24"/>
          <w:szCs w:val="24"/>
        </w:rPr>
      </w:pPr>
    </w:p>
    <w:p w:rsidR="00097DB4" w:rsidRDefault="00315D1B" w:rsidP="00FF40D1">
      <w:pPr>
        <w:spacing w:line="360" w:lineRule="auto"/>
        <w:jc w:val="both"/>
        <w:rPr>
          <w:rFonts w:ascii="Times New Roman" w:hAnsi="Times New Roman" w:cs="Times New Roman"/>
          <w:sz w:val="24"/>
          <w:szCs w:val="24"/>
        </w:rPr>
      </w:pPr>
      <w:r>
        <w:rPr>
          <w:rFonts w:ascii="Times New Roman" w:hAnsi="Times New Roman" w:cs="Times New Roman"/>
          <w:sz w:val="24"/>
          <w:szCs w:val="24"/>
        </w:rPr>
        <w:t>First of all, we have Howard Marshall in his book “</w:t>
      </w:r>
      <w:r w:rsidRPr="007C043F">
        <w:rPr>
          <w:rFonts w:ascii="Times New Roman" w:hAnsi="Times New Roman" w:cs="Times New Roman"/>
          <w:i/>
          <w:sz w:val="24"/>
          <w:szCs w:val="24"/>
        </w:rPr>
        <w:t>New Testament Theology: Many witnesses, one Gospel</w:t>
      </w:r>
      <w:r>
        <w:rPr>
          <w:rFonts w:ascii="Times New Roman" w:hAnsi="Times New Roman" w:cs="Times New Roman"/>
          <w:sz w:val="24"/>
          <w:szCs w:val="24"/>
        </w:rPr>
        <w:t xml:space="preserve">”. In this work Marshall </w:t>
      </w:r>
      <w:r w:rsidR="0015412C">
        <w:rPr>
          <w:rFonts w:ascii="Times New Roman" w:hAnsi="Times New Roman" w:cs="Times New Roman"/>
          <w:sz w:val="24"/>
          <w:szCs w:val="24"/>
        </w:rPr>
        <w:t>bases</w:t>
      </w:r>
      <w:r>
        <w:rPr>
          <w:rFonts w:ascii="Times New Roman" w:hAnsi="Times New Roman" w:cs="Times New Roman"/>
          <w:sz w:val="24"/>
          <w:szCs w:val="24"/>
        </w:rPr>
        <w:t xml:space="preserve"> on the exposition of the theology of each book of the NT</w:t>
      </w:r>
      <w:r w:rsidR="002B69AB">
        <w:rPr>
          <w:rFonts w:ascii="Times New Roman" w:hAnsi="Times New Roman" w:cs="Times New Roman"/>
          <w:sz w:val="24"/>
          <w:szCs w:val="24"/>
        </w:rPr>
        <w:t xml:space="preserve"> showing the underlying unity of the NTT while at the same time doing justice to the </w:t>
      </w:r>
      <w:r w:rsidR="004A25B0">
        <w:rPr>
          <w:rFonts w:ascii="Times New Roman" w:hAnsi="Times New Roman" w:cs="Times New Roman"/>
          <w:sz w:val="24"/>
          <w:szCs w:val="24"/>
        </w:rPr>
        <w:t>diversity of NT texts</w:t>
      </w:r>
      <w:r w:rsidR="003B65D5">
        <w:rPr>
          <w:rFonts w:ascii="Times New Roman" w:hAnsi="Times New Roman" w:cs="Times New Roman"/>
          <w:sz w:val="24"/>
          <w:szCs w:val="24"/>
        </w:rPr>
        <w:t xml:space="preserve">. </w:t>
      </w:r>
      <w:r w:rsidR="00097DB4">
        <w:rPr>
          <w:rFonts w:ascii="Times New Roman" w:hAnsi="Times New Roman" w:cs="Times New Roman"/>
          <w:sz w:val="24"/>
          <w:szCs w:val="24"/>
        </w:rPr>
        <w:t>Marshall begins with the structure of this book</w:t>
      </w:r>
      <w:r w:rsidR="009330B8">
        <w:rPr>
          <w:rFonts w:ascii="Times New Roman" w:hAnsi="Times New Roman" w:cs="Times New Roman"/>
          <w:sz w:val="24"/>
          <w:szCs w:val="24"/>
        </w:rPr>
        <w:t xml:space="preserve"> with the diversity and move towards unity, his basic approach is to summarize the unique theological themes of each NT</w:t>
      </w:r>
      <w:r w:rsidR="00C77FD1">
        <w:rPr>
          <w:rFonts w:ascii="Times New Roman" w:hAnsi="Times New Roman" w:cs="Times New Roman"/>
          <w:sz w:val="24"/>
          <w:szCs w:val="24"/>
        </w:rPr>
        <w:t xml:space="preserve"> document and only them to show the basic line of theological unity that span the canon, pushing </w:t>
      </w:r>
      <w:r w:rsidR="00282F0F">
        <w:rPr>
          <w:rFonts w:ascii="Times New Roman" w:hAnsi="Times New Roman" w:cs="Times New Roman"/>
          <w:sz w:val="24"/>
          <w:szCs w:val="24"/>
        </w:rPr>
        <w:t>beyond the writings themselves to the “ underlying history and experiences.”</w:t>
      </w:r>
    </w:p>
    <w:p w:rsidR="00FB7089" w:rsidRDefault="00D31463" w:rsidP="00FF40D1">
      <w:pPr>
        <w:spacing w:line="360" w:lineRule="auto"/>
        <w:jc w:val="both"/>
        <w:rPr>
          <w:rFonts w:ascii="Times New Roman" w:hAnsi="Times New Roman" w:cs="Times New Roman"/>
          <w:sz w:val="24"/>
          <w:szCs w:val="24"/>
        </w:rPr>
      </w:pPr>
      <w:r>
        <w:rPr>
          <w:rFonts w:ascii="Times New Roman" w:hAnsi="Times New Roman" w:cs="Times New Roman"/>
          <w:sz w:val="24"/>
          <w:szCs w:val="24"/>
        </w:rPr>
        <w:t>In the second place we have Frank Thielman with different method because he gives attention to historical background and works though each book section-by-section in order to summarize its theological content.</w:t>
      </w:r>
      <w:r w:rsidR="00765B78">
        <w:rPr>
          <w:rFonts w:ascii="Times New Roman" w:hAnsi="Times New Roman" w:cs="Times New Roman"/>
          <w:sz w:val="24"/>
          <w:szCs w:val="24"/>
        </w:rPr>
        <w:t xml:space="preserve"> Frank Thielman in his book </w:t>
      </w:r>
      <w:r w:rsidR="00765B78" w:rsidRPr="00216BD9">
        <w:rPr>
          <w:rFonts w:ascii="Times New Roman" w:hAnsi="Times New Roman" w:cs="Times New Roman"/>
          <w:i/>
          <w:sz w:val="24"/>
          <w:szCs w:val="24"/>
        </w:rPr>
        <w:t>“Theology of the New Testament: A canonical and synthetic Approach</w:t>
      </w:r>
      <w:r w:rsidR="00765B78">
        <w:rPr>
          <w:rFonts w:ascii="Times New Roman" w:hAnsi="Times New Roman" w:cs="Times New Roman"/>
          <w:sz w:val="24"/>
          <w:szCs w:val="24"/>
        </w:rPr>
        <w:t>” defends the uniqueness of each of the NT documents</w:t>
      </w:r>
      <w:r w:rsidR="006B2E1D">
        <w:rPr>
          <w:rFonts w:ascii="Times New Roman" w:hAnsi="Times New Roman" w:cs="Times New Roman"/>
          <w:sz w:val="24"/>
          <w:szCs w:val="24"/>
        </w:rPr>
        <w:t xml:space="preserve"> while at the same time demonstrating a fundamental </w:t>
      </w:r>
      <w:r w:rsidR="00240C88">
        <w:rPr>
          <w:rFonts w:ascii="Times New Roman" w:hAnsi="Times New Roman" w:cs="Times New Roman"/>
          <w:sz w:val="24"/>
          <w:szCs w:val="24"/>
        </w:rPr>
        <w:t>unity across the NT canon</w:t>
      </w:r>
      <w:r w:rsidR="00F07021">
        <w:rPr>
          <w:rFonts w:ascii="Times New Roman" w:hAnsi="Times New Roman" w:cs="Times New Roman"/>
          <w:sz w:val="24"/>
          <w:szCs w:val="24"/>
        </w:rPr>
        <w:t>.</w:t>
      </w:r>
      <w:r w:rsidR="008D50A6">
        <w:rPr>
          <w:rFonts w:ascii="Times New Roman" w:hAnsi="Times New Roman" w:cs="Times New Roman"/>
          <w:sz w:val="24"/>
          <w:szCs w:val="24"/>
        </w:rPr>
        <w:t xml:space="preserve"> </w:t>
      </w:r>
    </w:p>
    <w:p w:rsidR="00B20B42" w:rsidRDefault="00413116" w:rsidP="00FF40D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Thirdly we have </w:t>
      </w:r>
      <w:r w:rsidR="003D772C">
        <w:rPr>
          <w:rFonts w:ascii="Times New Roman" w:hAnsi="Times New Roman" w:cs="Times New Roman"/>
          <w:sz w:val="24"/>
          <w:szCs w:val="24"/>
        </w:rPr>
        <w:t>Frank J. Matera with his book:</w:t>
      </w:r>
      <w:r w:rsidR="003D772C" w:rsidRPr="003D772C">
        <w:rPr>
          <w:rFonts w:ascii="Times New Roman" w:hAnsi="Times New Roman" w:cs="Times New Roman"/>
          <w:sz w:val="24"/>
          <w:szCs w:val="24"/>
        </w:rPr>
        <w:t xml:space="preserve"> </w:t>
      </w:r>
      <w:r w:rsidR="003D772C">
        <w:rPr>
          <w:rFonts w:ascii="Times New Roman" w:hAnsi="Times New Roman" w:cs="Times New Roman"/>
          <w:sz w:val="24"/>
          <w:szCs w:val="24"/>
        </w:rPr>
        <w:t>“</w:t>
      </w:r>
      <w:r w:rsidR="003D772C" w:rsidRPr="00B006CD">
        <w:rPr>
          <w:rFonts w:ascii="Times New Roman" w:hAnsi="Times New Roman" w:cs="Times New Roman"/>
          <w:i/>
          <w:sz w:val="24"/>
          <w:szCs w:val="24"/>
        </w:rPr>
        <w:t>New Testament Theology: Exploring Diversity and Unity</w:t>
      </w:r>
      <w:r w:rsidR="003D772C">
        <w:rPr>
          <w:rFonts w:ascii="Times New Roman" w:hAnsi="Times New Roman" w:cs="Times New Roman"/>
          <w:sz w:val="24"/>
          <w:szCs w:val="24"/>
        </w:rPr>
        <w:t>”</w:t>
      </w:r>
      <w:r w:rsidR="0056407B">
        <w:rPr>
          <w:rFonts w:ascii="Times New Roman" w:hAnsi="Times New Roman" w:cs="Times New Roman"/>
          <w:sz w:val="24"/>
          <w:szCs w:val="24"/>
        </w:rPr>
        <w:t>. Here with in line with Thielman and Marshall,</w:t>
      </w:r>
      <w:r w:rsidR="0056407B" w:rsidRPr="0056407B">
        <w:rPr>
          <w:rFonts w:ascii="Times New Roman" w:hAnsi="Times New Roman" w:cs="Times New Roman"/>
          <w:sz w:val="24"/>
          <w:szCs w:val="24"/>
        </w:rPr>
        <w:t xml:space="preserve"> Matera seeks to do justice to the diverse contributions of the various NT texts while showing that within this diversity there is a </w:t>
      </w:r>
      <w:r w:rsidR="0056407B" w:rsidRPr="0056407B">
        <w:rPr>
          <w:rFonts w:ascii="Times New Roman" w:hAnsi="Times New Roman" w:cs="Times New Roman"/>
          <w:sz w:val="24"/>
          <w:szCs w:val="24"/>
        </w:rPr>
        <w:lastRenderedPageBreak/>
        <w:t>core of theological unity</w:t>
      </w:r>
      <w:r w:rsidR="00743442">
        <w:rPr>
          <w:rFonts w:ascii="Times New Roman" w:hAnsi="Times New Roman" w:cs="Times New Roman"/>
          <w:sz w:val="24"/>
          <w:szCs w:val="24"/>
        </w:rPr>
        <w:t>.</w:t>
      </w:r>
      <w:r w:rsidR="00604FF2">
        <w:rPr>
          <w:rFonts w:ascii="Times New Roman" w:hAnsi="Times New Roman" w:cs="Times New Roman"/>
          <w:sz w:val="24"/>
          <w:szCs w:val="24"/>
        </w:rPr>
        <w:t xml:space="preserve"> And also as </w:t>
      </w:r>
      <w:r w:rsidR="00604FF2" w:rsidRPr="00604FF2">
        <w:rPr>
          <w:rFonts w:ascii="Times New Roman" w:hAnsi="Times New Roman" w:cs="Times New Roman"/>
          <w:sz w:val="24"/>
          <w:szCs w:val="24"/>
        </w:rPr>
        <w:t>Marshall and Thielman, he starts with diversity and moves toward unity</w:t>
      </w:r>
      <w:r w:rsidR="00604FF2">
        <w:rPr>
          <w:rFonts w:ascii="Times New Roman" w:hAnsi="Times New Roman" w:cs="Times New Roman"/>
          <w:sz w:val="24"/>
          <w:szCs w:val="24"/>
        </w:rPr>
        <w:t>.</w:t>
      </w:r>
      <w:r w:rsidR="00DC3956">
        <w:rPr>
          <w:rFonts w:ascii="Times New Roman" w:hAnsi="Times New Roman" w:cs="Times New Roman"/>
          <w:sz w:val="24"/>
          <w:szCs w:val="24"/>
        </w:rPr>
        <w:t xml:space="preserve"> </w:t>
      </w:r>
      <w:r w:rsidR="00DC3956" w:rsidRPr="00DC3956">
        <w:rPr>
          <w:rFonts w:ascii="Times New Roman" w:hAnsi="Times New Roman" w:cs="Times New Roman"/>
          <w:sz w:val="24"/>
          <w:szCs w:val="24"/>
        </w:rPr>
        <w:t>Rejectin</w:t>
      </w:r>
      <w:r w:rsidR="00AD4C7D">
        <w:rPr>
          <w:rFonts w:ascii="Times New Roman" w:hAnsi="Times New Roman" w:cs="Times New Roman"/>
          <w:sz w:val="24"/>
          <w:szCs w:val="24"/>
        </w:rPr>
        <w:t xml:space="preserve">g a purely historical approach </w:t>
      </w:r>
      <w:r w:rsidR="00DC3956" w:rsidRPr="00DC3956">
        <w:rPr>
          <w:rFonts w:ascii="Times New Roman" w:hAnsi="Times New Roman" w:cs="Times New Roman"/>
          <w:sz w:val="24"/>
          <w:szCs w:val="24"/>
        </w:rPr>
        <w:t>he argues that NTT “should seek to provide a theological interpretation of the New Testament that integrates and relates the diverse theologies of the New Testament into a unified whole without harmonizing them</w:t>
      </w:r>
      <w:r w:rsidR="00DC3956">
        <w:rPr>
          <w:rFonts w:ascii="Times New Roman" w:hAnsi="Times New Roman" w:cs="Times New Roman"/>
          <w:sz w:val="24"/>
          <w:szCs w:val="24"/>
        </w:rPr>
        <w:t>”</w:t>
      </w:r>
    </w:p>
    <w:p w:rsidR="00A7712F" w:rsidRDefault="00FF40D1" w:rsidP="00FF40D1">
      <w:pPr>
        <w:spacing w:line="360" w:lineRule="auto"/>
        <w:jc w:val="both"/>
        <w:rPr>
          <w:rFonts w:ascii="Times New Roman" w:hAnsi="Times New Roman" w:cs="Times New Roman"/>
          <w:sz w:val="24"/>
          <w:szCs w:val="24"/>
        </w:rPr>
      </w:pPr>
      <w:r>
        <w:rPr>
          <w:rFonts w:ascii="Times New Roman" w:hAnsi="Times New Roman" w:cs="Times New Roman"/>
          <w:sz w:val="24"/>
          <w:szCs w:val="24"/>
        </w:rPr>
        <w:t>Thomas R. Schreiner in his “</w:t>
      </w:r>
      <w:r w:rsidRPr="000D3C29">
        <w:rPr>
          <w:rFonts w:ascii="Times New Roman" w:hAnsi="Times New Roman" w:cs="Times New Roman"/>
          <w:i/>
          <w:sz w:val="24"/>
          <w:szCs w:val="24"/>
        </w:rPr>
        <w:t>New Testament Theology: Magnifying God in Christ</w:t>
      </w:r>
      <w:r>
        <w:rPr>
          <w:rFonts w:ascii="Times New Roman" w:hAnsi="Times New Roman" w:cs="Times New Roman"/>
          <w:sz w:val="24"/>
          <w:szCs w:val="24"/>
        </w:rPr>
        <w:t>”</w:t>
      </w:r>
      <w:r w:rsidR="000D3C29">
        <w:rPr>
          <w:rFonts w:ascii="Times New Roman" w:hAnsi="Times New Roman" w:cs="Times New Roman"/>
          <w:sz w:val="24"/>
          <w:szCs w:val="24"/>
        </w:rPr>
        <w:t xml:space="preserve"> </w:t>
      </w:r>
      <w:r w:rsidR="000D3C29" w:rsidRPr="000D3C29">
        <w:rPr>
          <w:rFonts w:ascii="Times New Roman" w:hAnsi="Times New Roman" w:cs="Times New Roman"/>
          <w:sz w:val="24"/>
          <w:szCs w:val="24"/>
        </w:rPr>
        <w:t>Schreiner opts for a thematic approach, arguing that this will aid in understanding both the overall unity of the NT and the individual contributions of its authors</w:t>
      </w:r>
      <w:r w:rsidR="000D3C29">
        <w:rPr>
          <w:rFonts w:ascii="Times New Roman" w:hAnsi="Times New Roman" w:cs="Times New Roman"/>
          <w:sz w:val="24"/>
          <w:szCs w:val="24"/>
        </w:rPr>
        <w:t>.</w:t>
      </w:r>
      <w:r w:rsidR="00075717">
        <w:rPr>
          <w:rFonts w:ascii="Times New Roman" w:hAnsi="Times New Roman" w:cs="Times New Roman"/>
          <w:sz w:val="24"/>
          <w:szCs w:val="24"/>
        </w:rPr>
        <w:t xml:space="preserve"> </w:t>
      </w:r>
      <w:r w:rsidR="00075717" w:rsidRPr="00075717">
        <w:rPr>
          <w:rFonts w:ascii="Times New Roman" w:hAnsi="Times New Roman" w:cs="Times New Roman"/>
          <w:sz w:val="24"/>
          <w:szCs w:val="24"/>
        </w:rPr>
        <w:t>Schreiner argues that “NT theology is God-focused, Christ</w:t>
      </w:r>
      <w:r w:rsidR="00075717">
        <w:rPr>
          <w:rFonts w:ascii="Times New Roman" w:hAnsi="Times New Roman" w:cs="Times New Roman"/>
          <w:sz w:val="24"/>
          <w:szCs w:val="24"/>
        </w:rPr>
        <w:t xml:space="preserve"> </w:t>
      </w:r>
      <w:r w:rsidR="00075717" w:rsidRPr="00075717">
        <w:rPr>
          <w:rFonts w:ascii="Times New Roman" w:hAnsi="Times New Roman" w:cs="Times New Roman"/>
          <w:sz w:val="24"/>
          <w:szCs w:val="24"/>
        </w:rPr>
        <w:t>centered, and Spirit-saturated, but the work of the Father, Son, and Spirit must be understood along a salvation-historical timeline; that is, God’s promises are already fulfilled but not yet consummated in Christ Jesus.</w:t>
      </w:r>
    </w:p>
    <w:p w:rsidR="00FC699E" w:rsidRPr="00FC699E" w:rsidRDefault="00BD039D" w:rsidP="00FC699E">
      <w:pPr>
        <w:spacing w:line="360" w:lineRule="auto"/>
        <w:jc w:val="both"/>
        <w:rPr>
          <w:rFonts w:ascii="Times New Roman" w:hAnsi="Times New Roman" w:cs="Times New Roman"/>
          <w:sz w:val="24"/>
          <w:szCs w:val="24"/>
        </w:rPr>
      </w:pPr>
      <w:r w:rsidRPr="00BD039D">
        <w:rPr>
          <w:rFonts w:ascii="Times New Roman" w:hAnsi="Times New Roman" w:cs="Times New Roman"/>
          <w:sz w:val="24"/>
          <w:szCs w:val="24"/>
        </w:rPr>
        <w:t>Udo Schne</w:t>
      </w:r>
      <w:r w:rsidR="000300CC">
        <w:rPr>
          <w:rFonts w:ascii="Times New Roman" w:hAnsi="Times New Roman" w:cs="Times New Roman"/>
          <w:sz w:val="24"/>
          <w:szCs w:val="24"/>
        </w:rPr>
        <w:t>lle in his “</w:t>
      </w:r>
      <w:r w:rsidRPr="0032049F">
        <w:rPr>
          <w:rFonts w:ascii="Times New Roman" w:hAnsi="Times New Roman" w:cs="Times New Roman"/>
          <w:i/>
          <w:sz w:val="24"/>
          <w:szCs w:val="24"/>
        </w:rPr>
        <w:t>Theology of the New Testament</w:t>
      </w:r>
      <w:r w:rsidR="000300CC">
        <w:rPr>
          <w:rFonts w:ascii="Times New Roman" w:hAnsi="Times New Roman" w:cs="Times New Roman"/>
          <w:sz w:val="24"/>
          <w:szCs w:val="24"/>
        </w:rPr>
        <w:t>”</w:t>
      </w:r>
      <w:r w:rsidR="00E966D5" w:rsidRPr="00E966D5">
        <w:t xml:space="preserve"> </w:t>
      </w:r>
      <w:r w:rsidR="00E966D5" w:rsidRPr="00E966D5">
        <w:rPr>
          <w:rFonts w:ascii="Times New Roman" w:hAnsi="Times New Roman" w:cs="Times New Roman"/>
          <w:sz w:val="24"/>
          <w:szCs w:val="24"/>
        </w:rPr>
        <w:t>stands out among the books included in this survey because of its unique approach</w:t>
      </w:r>
      <w:r w:rsidR="00E966D5">
        <w:rPr>
          <w:rFonts w:ascii="Times New Roman" w:hAnsi="Times New Roman" w:cs="Times New Roman"/>
          <w:sz w:val="24"/>
          <w:szCs w:val="24"/>
        </w:rPr>
        <w:t>.</w:t>
      </w:r>
      <w:r w:rsidR="00187FCD" w:rsidRPr="00187FCD">
        <w:t xml:space="preserve"> </w:t>
      </w:r>
      <w:r w:rsidR="00FC699E" w:rsidRPr="00FC699E">
        <w:rPr>
          <w:rFonts w:ascii="Times New Roman" w:hAnsi="Times New Roman" w:cs="Times New Roman"/>
          <w:sz w:val="24"/>
          <w:szCs w:val="24"/>
        </w:rPr>
        <w:t xml:space="preserve">In sum, Schnelle utilizes a unique approach to NTT which will benefit students of the discipline in that his project offers a stark contrast to most recently published NTTs. Yet this approach involves internal inconsistencies and leads to serious difficulties. </w:t>
      </w:r>
    </w:p>
    <w:p w:rsidR="00F25629" w:rsidRDefault="00BB41E3" w:rsidP="003029ED">
      <w:pPr>
        <w:spacing w:line="360" w:lineRule="auto"/>
        <w:jc w:val="both"/>
        <w:rPr>
          <w:rFonts w:ascii="Times New Roman" w:hAnsi="Times New Roman" w:cs="Times New Roman"/>
          <w:sz w:val="24"/>
          <w:szCs w:val="24"/>
        </w:rPr>
      </w:pPr>
      <w:r>
        <w:rPr>
          <w:rFonts w:ascii="Times New Roman" w:hAnsi="Times New Roman" w:cs="Times New Roman"/>
          <w:sz w:val="24"/>
          <w:szCs w:val="24"/>
        </w:rPr>
        <w:t>G. K. Beale, in his “</w:t>
      </w:r>
      <w:r w:rsidRPr="00BB41E3">
        <w:rPr>
          <w:rFonts w:ascii="Times New Roman" w:hAnsi="Times New Roman" w:cs="Times New Roman"/>
          <w:i/>
          <w:sz w:val="24"/>
          <w:szCs w:val="24"/>
        </w:rPr>
        <w:t>A New Testament Biblical Theology: The Unfolding of the Old Testament in the New</w:t>
      </w:r>
      <w:r>
        <w:rPr>
          <w:rFonts w:ascii="Times New Roman" w:hAnsi="Times New Roman" w:cs="Times New Roman"/>
          <w:sz w:val="24"/>
          <w:szCs w:val="24"/>
        </w:rPr>
        <w:t xml:space="preserve">” </w:t>
      </w:r>
      <w:r w:rsidR="00D53B5E">
        <w:rPr>
          <w:rFonts w:ascii="Times New Roman" w:hAnsi="Times New Roman" w:cs="Times New Roman"/>
          <w:sz w:val="24"/>
          <w:szCs w:val="24"/>
        </w:rPr>
        <w:t>said that a</w:t>
      </w:r>
      <w:r w:rsidR="00D53B5E" w:rsidRPr="00D53B5E">
        <w:rPr>
          <w:rFonts w:ascii="Times New Roman" w:hAnsi="Times New Roman" w:cs="Times New Roman"/>
          <w:sz w:val="24"/>
          <w:szCs w:val="24"/>
        </w:rPr>
        <w:t xml:space="preserve"> New Testament Biblical Theology is no exception. In this work, Beale seeks to offer not merely a NT theology but a NT biblical theology</w:t>
      </w:r>
      <w:r w:rsidR="00262E8B">
        <w:rPr>
          <w:rFonts w:ascii="Times New Roman" w:hAnsi="Times New Roman" w:cs="Times New Roman"/>
          <w:sz w:val="24"/>
          <w:szCs w:val="24"/>
        </w:rPr>
        <w:t>.</w:t>
      </w:r>
      <w:r w:rsidR="00262E8B" w:rsidRPr="00262E8B">
        <w:t xml:space="preserve"> </w:t>
      </w:r>
      <w:r w:rsidR="00262E8B" w:rsidRPr="00262E8B">
        <w:rPr>
          <w:rFonts w:ascii="Times New Roman" w:hAnsi="Times New Roman" w:cs="Times New Roman"/>
          <w:sz w:val="24"/>
          <w:szCs w:val="24"/>
        </w:rPr>
        <w:t>Beale shows the unity of Scripture both exegetically and through its storyline, but he largely neglects the particular emphases of individual writings.</w:t>
      </w:r>
    </w:p>
    <w:p w:rsidR="003029ED" w:rsidRDefault="003029ED" w:rsidP="003029ED">
      <w:pPr>
        <w:spacing w:line="360" w:lineRule="auto"/>
        <w:jc w:val="both"/>
        <w:rPr>
          <w:rFonts w:ascii="Times New Roman" w:hAnsi="Times New Roman" w:cs="Times New Roman"/>
          <w:sz w:val="24"/>
          <w:szCs w:val="24"/>
        </w:rPr>
      </w:pPr>
      <w:r>
        <w:rPr>
          <w:rFonts w:ascii="Times New Roman" w:hAnsi="Times New Roman" w:cs="Times New Roman"/>
          <w:sz w:val="24"/>
          <w:szCs w:val="24"/>
        </w:rPr>
        <w:t>In conclusion, t</w:t>
      </w:r>
      <w:r>
        <w:rPr>
          <w:rFonts w:ascii="Times New Roman" w:hAnsi="Times New Roman" w:cs="Times New Roman"/>
          <w:sz w:val="24"/>
          <w:szCs w:val="24"/>
        </w:rPr>
        <w:t>he purpose of this article is to briefly survey some of the most important recent contributions to New Testament Theology, highlighting the ways in which they address this topic of the Unity and Diversity in Recent New Testament theologies.</w:t>
      </w:r>
      <w:r w:rsidR="00734F5E">
        <w:rPr>
          <w:rFonts w:ascii="Times New Roman" w:hAnsi="Times New Roman" w:cs="Times New Roman"/>
          <w:sz w:val="24"/>
          <w:szCs w:val="24"/>
        </w:rPr>
        <w:t xml:space="preserve"> </w:t>
      </w:r>
      <w:r>
        <w:rPr>
          <w:rFonts w:ascii="Times New Roman" w:hAnsi="Times New Roman" w:cs="Times New Roman"/>
          <w:sz w:val="24"/>
          <w:szCs w:val="24"/>
        </w:rPr>
        <w:t xml:space="preserve">In other to make that argument </w:t>
      </w:r>
      <w:r w:rsidRPr="00861016">
        <w:rPr>
          <w:rFonts w:ascii="Times New Roman" w:hAnsi="Times New Roman" w:cs="Times New Roman"/>
          <w:sz w:val="24"/>
          <w:szCs w:val="24"/>
        </w:rPr>
        <w:t>Wendel Sun</w:t>
      </w:r>
      <w:r>
        <w:rPr>
          <w:rFonts w:ascii="Times New Roman" w:hAnsi="Times New Roman" w:cs="Times New Roman"/>
          <w:sz w:val="24"/>
          <w:szCs w:val="24"/>
        </w:rPr>
        <w:t xml:space="preserve"> examines first a few recent New Testament Theology focusing on the treatment of unity and diversity found in each and finally, he concluded which observations on recent trends in NTT and suggestions for future study. </w:t>
      </w:r>
    </w:p>
    <w:p w:rsidR="00BD039D" w:rsidRPr="00EF39FF" w:rsidRDefault="00BD039D" w:rsidP="00FC699E">
      <w:pPr>
        <w:spacing w:line="360" w:lineRule="auto"/>
        <w:jc w:val="both"/>
        <w:rPr>
          <w:rFonts w:ascii="Times New Roman" w:hAnsi="Times New Roman" w:cs="Times New Roman"/>
          <w:sz w:val="24"/>
          <w:szCs w:val="24"/>
        </w:rPr>
      </w:pPr>
    </w:p>
    <w:sectPr w:rsidR="00BD039D" w:rsidRPr="00EF39FF">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5C17" w:rsidRDefault="00925C17" w:rsidP="0048462B">
      <w:pPr>
        <w:spacing w:after="0" w:line="240" w:lineRule="auto"/>
      </w:pPr>
      <w:r>
        <w:separator/>
      </w:r>
    </w:p>
  </w:endnote>
  <w:endnote w:type="continuationSeparator" w:id="0">
    <w:p w:rsidR="00925C17" w:rsidRDefault="00925C17" w:rsidP="00484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7547913"/>
      <w:docPartObj>
        <w:docPartGallery w:val="Page Numbers (Bottom of Page)"/>
        <w:docPartUnique/>
      </w:docPartObj>
    </w:sdtPr>
    <w:sdtEndPr>
      <w:rPr>
        <w:noProof/>
      </w:rPr>
    </w:sdtEndPr>
    <w:sdtContent>
      <w:p w:rsidR="004A25B0" w:rsidRDefault="004A25B0">
        <w:pPr>
          <w:pStyle w:val="Footer"/>
          <w:jc w:val="center"/>
        </w:pPr>
        <w:r>
          <w:fldChar w:fldCharType="begin"/>
        </w:r>
        <w:r>
          <w:instrText xml:space="preserve"> PAGE   \* MERGEFORMAT </w:instrText>
        </w:r>
        <w:r>
          <w:fldChar w:fldCharType="separate"/>
        </w:r>
        <w:r w:rsidR="00D03389">
          <w:rPr>
            <w:noProof/>
          </w:rPr>
          <w:t>2</w:t>
        </w:r>
        <w:r>
          <w:rPr>
            <w:noProof/>
          </w:rPr>
          <w:fldChar w:fldCharType="end"/>
        </w:r>
      </w:p>
    </w:sdtContent>
  </w:sdt>
  <w:p w:rsidR="004A25B0" w:rsidRDefault="004A25B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5C17" w:rsidRDefault="00925C17" w:rsidP="0048462B">
      <w:pPr>
        <w:spacing w:after="0" w:line="240" w:lineRule="auto"/>
      </w:pPr>
      <w:r>
        <w:separator/>
      </w:r>
    </w:p>
  </w:footnote>
  <w:footnote w:type="continuationSeparator" w:id="0">
    <w:p w:rsidR="00925C17" w:rsidRDefault="00925C17" w:rsidP="0048462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1FD"/>
    <w:rsid w:val="000300CC"/>
    <w:rsid w:val="00031F34"/>
    <w:rsid w:val="00036347"/>
    <w:rsid w:val="0005659D"/>
    <w:rsid w:val="000714D6"/>
    <w:rsid w:val="00075717"/>
    <w:rsid w:val="00097DB4"/>
    <w:rsid w:val="000A33CD"/>
    <w:rsid w:val="000A56DF"/>
    <w:rsid w:val="000D3C29"/>
    <w:rsid w:val="0011634A"/>
    <w:rsid w:val="0011744F"/>
    <w:rsid w:val="0015412C"/>
    <w:rsid w:val="00155167"/>
    <w:rsid w:val="00187FCD"/>
    <w:rsid w:val="0021695B"/>
    <w:rsid w:val="00216BD9"/>
    <w:rsid w:val="00227682"/>
    <w:rsid w:val="002315D2"/>
    <w:rsid w:val="00240C88"/>
    <w:rsid w:val="00260060"/>
    <w:rsid w:val="00261E2A"/>
    <w:rsid w:val="00262E8B"/>
    <w:rsid w:val="00276D7F"/>
    <w:rsid w:val="00282298"/>
    <w:rsid w:val="00282F0F"/>
    <w:rsid w:val="00283239"/>
    <w:rsid w:val="002B066F"/>
    <w:rsid w:val="002B69AB"/>
    <w:rsid w:val="003029ED"/>
    <w:rsid w:val="00315D1B"/>
    <w:rsid w:val="0032049F"/>
    <w:rsid w:val="00354866"/>
    <w:rsid w:val="00373E7B"/>
    <w:rsid w:val="003B65D5"/>
    <w:rsid w:val="003D772C"/>
    <w:rsid w:val="00401517"/>
    <w:rsid w:val="00413116"/>
    <w:rsid w:val="00420977"/>
    <w:rsid w:val="004479F3"/>
    <w:rsid w:val="0048462B"/>
    <w:rsid w:val="004A25B0"/>
    <w:rsid w:val="0054794B"/>
    <w:rsid w:val="0056407B"/>
    <w:rsid w:val="00593E18"/>
    <w:rsid w:val="00604FF2"/>
    <w:rsid w:val="00611AE6"/>
    <w:rsid w:val="006302A6"/>
    <w:rsid w:val="00691322"/>
    <w:rsid w:val="006B2E1D"/>
    <w:rsid w:val="007323C2"/>
    <w:rsid w:val="0073314A"/>
    <w:rsid w:val="00734F5E"/>
    <w:rsid w:val="00743442"/>
    <w:rsid w:val="00765B78"/>
    <w:rsid w:val="00771A43"/>
    <w:rsid w:val="007A12D4"/>
    <w:rsid w:val="007A276B"/>
    <w:rsid w:val="007C043F"/>
    <w:rsid w:val="007C5EFB"/>
    <w:rsid w:val="007E46C1"/>
    <w:rsid w:val="00844AB7"/>
    <w:rsid w:val="00861016"/>
    <w:rsid w:val="008B6D36"/>
    <w:rsid w:val="008D50A6"/>
    <w:rsid w:val="008F688C"/>
    <w:rsid w:val="00925C17"/>
    <w:rsid w:val="009330B8"/>
    <w:rsid w:val="00975C09"/>
    <w:rsid w:val="009C3687"/>
    <w:rsid w:val="00A7712F"/>
    <w:rsid w:val="00AD2B95"/>
    <w:rsid w:val="00AD4C7D"/>
    <w:rsid w:val="00AE46CA"/>
    <w:rsid w:val="00B006CD"/>
    <w:rsid w:val="00B028CF"/>
    <w:rsid w:val="00B148D2"/>
    <w:rsid w:val="00B20B42"/>
    <w:rsid w:val="00BB41E3"/>
    <w:rsid w:val="00BC023E"/>
    <w:rsid w:val="00BD039D"/>
    <w:rsid w:val="00BE2FFD"/>
    <w:rsid w:val="00C77FD1"/>
    <w:rsid w:val="00C841FD"/>
    <w:rsid w:val="00D03389"/>
    <w:rsid w:val="00D31463"/>
    <w:rsid w:val="00D53B5E"/>
    <w:rsid w:val="00D6179E"/>
    <w:rsid w:val="00DB1C97"/>
    <w:rsid w:val="00DB1F0E"/>
    <w:rsid w:val="00DC28EE"/>
    <w:rsid w:val="00DC3956"/>
    <w:rsid w:val="00E736F9"/>
    <w:rsid w:val="00E966D5"/>
    <w:rsid w:val="00EC5DBB"/>
    <w:rsid w:val="00EF39FF"/>
    <w:rsid w:val="00F07021"/>
    <w:rsid w:val="00F25629"/>
    <w:rsid w:val="00F26D3A"/>
    <w:rsid w:val="00FB1D7D"/>
    <w:rsid w:val="00FB7089"/>
    <w:rsid w:val="00FC699E"/>
    <w:rsid w:val="00FF40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8462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8462B"/>
    <w:rPr>
      <w:sz w:val="20"/>
      <w:szCs w:val="20"/>
    </w:rPr>
  </w:style>
  <w:style w:type="character" w:styleId="FootnoteReference">
    <w:name w:val="footnote reference"/>
    <w:basedOn w:val="DefaultParagraphFont"/>
    <w:uiPriority w:val="99"/>
    <w:semiHidden/>
    <w:unhideWhenUsed/>
    <w:rsid w:val="0048462B"/>
    <w:rPr>
      <w:vertAlign w:val="superscript"/>
    </w:rPr>
  </w:style>
  <w:style w:type="paragraph" w:styleId="Header">
    <w:name w:val="header"/>
    <w:basedOn w:val="Normal"/>
    <w:link w:val="HeaderChar"/>
    <w:uiPriority w:val="99"/>
    <w:unhideWhenUsed/>
    <w:rsid w:val="004A25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25B0"/>
  </w:style>
  <w:style w:type="paragraph" w:styleId="Footer">
    <w:name w:val="footer"/>
    <w:basedOn w:val="Normal"/>
    <w:link w:val="FooterChar"/>
    <w:uiPriority w:val="99"/>
    <w:unhideWhenUsed/>
    <w:rsid w:val="004A25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25B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8462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8462B"/>
    <w:rPr>
      <w:sz w:val="20"/>
      <w:szCs w:val="20"/>
    </w:rPr>
  </w:style>
  <w:style w:type="character" w:styleId="FootnoteReference">
    <w:name w:val="footnote reference"/>
    <w:basedOn w:val="DefaultParagraphFont"/>
    <w:uiPriority w:val="99"/>
    <w:semiHidden/>
    <w:unhideWhenUsed/>
    <w:rsid w:val="0048462B"/>
    <w:rPr>
      <w:vertAlign w:val="superscript"/>
    </w:rPr>
  </w:style>
  <w:style w:type="paragraph" w:styleId="Header">
    <w:name w:val="header"/>
    <w:basedOn w:val="Normal"/>
    <w:link w:val="HeaderChar"/>
    <w:uiPriority w:val="99"/>
    <w:unhideWhenUsed/>
    <w:rsid w:val="004A25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25B0"/>
  </w:style>
  <w:style w:type="paragraph" w:styleId="Footer">
    <w:name w:val="footer"/>
    <w:basedOn w:val="Normal"/>
    <w:link w:val="FooterChar"/>
    <w:uiPriority w:val="99"/>
    <w:unhideWhenUsed/>
    <w:rsid w:val="004A25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25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E4CA2B-9B02-44C1-A723-9105E8B20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2</Pages>
  <Words>662</Words>
  <Characters>3780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Pergentino Edjang</dc:creator>
  <cp:keywords/>
  <dc:description/>
  <cp:lastModifiedBy>Pergentino Edjang</cp:lastModifiedBy>
  <cp:revision>338</cp:revision>
  <dcterms:created xsi:type="dcterms:W3CDTF">2020-11-25T04:52:00Z</dcterms:created>
  <dcterms:modified xsi:type="dcterms:W3CDTF">2020-11-26T07:50:00Z</dcterms:modified>
</cp:coreProperties>
</file>