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mc:Ignorable="w14 wp14">
  <w:body>
    <w:p>
      <w:pPr>
        <w:pStyle w:val="style0"/>
        <w:spacing w:lineRule="auto" w:line="480"/>
        <w:jc w:val="left"/>
        <w:rPr>
          <w:rFonts w:ascii="Times New Roman" w:cs="Times New Roman" w:hAnsi="Times New Roman"/>
          <w:sz w:val="24"/>
          <w:szCs w:val="24"/>
        </w:rPr>
      </w:pPr>
      <w:r>
        <w:rPr>
          <w:rFonts w:ascii="Times New Roman" w:cs="Times New Roman" w:hAnsi="Times New Roman"/>
          <w:sz w:val="24"/>
          <w:szCs w:val="24"/>
        </w:rPr>
        <w:t>NWITE JOHN N.</w:t>
      </w:r>
    </w:p>
    <w:p>
      <w:pPr>
        <w:pStyle w:val="style0"/>
        <w:spacing w:lineRule="auto" w:line="480"/>
        <w:jc w:val="left"/>
        <w:rPr>
          <w:rFonts w:ascii="Times New Roman" w:cs="Times New Roman" w:hAnsi="Times New Roman"/>
          <w:b/>
          <w:sz w:val="24"/>
          <w:szCs w:val="24"/>
        </w:rPr>
      </w:pPr>
      <w:r>
        <w:rPr>
          <w:rFonts w:ascii="Times New Roman" w:cs="Times New Roman" w:hAnsi="Times New Roman"/>
          <w:sz w:val="24"/>
          <w:szCs w:val="24"/>
        </w:rPr>
        <w:t>DI/877. 3LEVEL, NEW TE</w:t>
      </w:r>
      <w:r>
        <w:rPr>
          <w:rFonts w:ascii="Times New Roman" w:cs="Times New Roman" w:hAnsi="Times New Roman"/>
          <w:sz w:val="24"/>
          <w:szCs w:val="24"/>
        </w:rPr>
        <w:t>STAMENT THEOLOGY E</w:t>
      </w:r>
      <w:r>
        <w:rPr>
          <w:rFonts w:ascii="Times New Roman" w:cs="Times New Roman" w:hAnsi="Times New Roman"/>
          <w:sz w:val="24"/>
          <w:szCs w:val="24"/>
        </w:rPr>
        <w:t>XAM.</w:t>
      </w:r>
      <w:r>
        <w:rPr>
          <w:rFonts w:ascii="Times New Roman" w:cs="Times New Roman" w:hAnsi="Times New Roman"/>
          <w:sz w:val="24"/>
          <w:szCs w:val="24"/>
        </w:rPr>
        <w:t xml:space="preserve"> D</w:t>
      </w:r>
      <w:r>
        <w:rPr>
          <w:rFonts w:ascii="Times New Roman" w:cs="Times New Roman" w:hAnsi="Times New Roman"/>
          <w:sz w:val="24"/>
          <w:szCs w:val="24"/>
        </w:rPr>
        <w:t>OMINICAN INSTITUTE OF THEOLOGY</w:t>
      </w:r>
      <w:r>
        <w:rPr>
          <w:rFonts w:ascii="Times New Roman" w:cs="Times New Roman" w:hAnsi="Times New Roman"/>
          <w:sz w:val="24"/>
          <w:szCs w:val="24"/>
        </w:rPr>
        <w:t xml:space="preserve">. </w:t>
      </w:r>
      <w:r>
        <w:rPr>
          <w:rFonts w:ascii="Times New Roman" w:cs="Times New Roman" w:hAnsi="Times New Roman"/>
          <w:sz w:val="24"/>
          <w:szCs w:val="24"/>
        </w:rPr>
        <w:t xml:space="preserve"> </w:t>
      </w:r>
      <w:r>
        <w:rPr>
          <w:rFonts w:ascii="Times New Roman" w:cs="Times New Roman" w:hAnsi="Times New Roman"/>
          <w:sz w:val="24"/>
          <w:szCs w:val="24"/>
        </w:rPr>
        <w:t xml:space="preserve">QUESTION 1: </w:t>
      </w:r>
      <w:r>
        <w:rPr>
          <w:rFonts w:ascii="Times New Roman" w:cs="Times New Roman" w:hAnsi="Times New Roman"/>
          <w:sz w:val="24"/>
          <w:szCs w:val="24"/>
        </w:rPr>
        <w:t>“</w:t>
      </w:r>
      <w:r>
        <w:rPr>
          <w:rFonts w:ascii="Times New Roman" w:cs="Times New Roman" w:hAnsi="Times New Roman"/>
          <w:b/>
          <w:sz w:val="24"/>
          <w:szCs w:val="24"/>
        </w:rPr>
        <w:t xml:space="preserve">The </w:t>
      </w:r>
      <w:r>
        <w:rPr>
          <w:rFonts w:ascii="Times New Roman" w:cs="Times New Roman" w:hAnsi="Times New Roman"/>
          <w:b/>
          <w:sz w:val="24"/>
          <w:szCs w:val="24"/>
        </w:rPr>
        <w:t xml:space="preserve">New </w:t>
      </w:r>
      <w:r>
        <w:rPr>
          <w:rFonts w:ascii="Times New Roman" w:cs="Times New Roman" w:hAnsi="Times New Roman"/>
          <w:b/>
          <w:sz w:val="24"/>
          <w:szCs w:val="24"/>
        </w:rPr>
        <w:t>Testament Theology” is the title of some academic syllabi (courses). Does it exist?</w:t>
      </w:r>
    </w:p>
    <w:p>
      <w:pPr>
        <w:pStyle w:val="style0"/>
        <w:spacing w:lineRule="auto" w:line="480"/>
        <w:jc w:val="left"/>
        <w:rPr>
          <w:rFonts w:ascii="Times New Roman" w:cs="Times New Roman" w:hAnsi="Times New Roman"/>
          <w:sz w:val="24"/>
          <w:szCs w:val="24"/>
        </w:rPr>
      </w:pPr>
      <w:r>
        <w:rPr>
          <w:rFonts w:ascii="Times New Roman" w:cs="Times New Roman" w:hAnsi="Times New Roman"/>
          <w:sz w:val="24"/>
          <w:szCs w:val="24"/>
        </w:rPr>
        <w:t>INTRODUCTION</w:t>
      </w:r>
    </w:p>
    <w:p>
      <w:pPr>
        <w:pStyle w:val="style0"/>
        <w:spacing w:lineRule="auto" w:line="480"/>
        <w:jc w:val="left"/>
        <w:rPr>
          <w:rFonts w:ascii="Times New Roman" w:cs="Times New Roman" w:hAnsi="Times New Roman"/>
          <w:sz w:val="24"/>
          <w:szCs w:val="24"/>
        </w:rPr>
      </w:pPr>
      <w:r>
        <w:rPr>
          <w:rFonts w:ascii="Times New Roman" w:cs="Times New Roman" w:hAnsi="Times New Roman"/>
          <w:sz w:val="24"/>
          <w:szCs w:val="24"/>
        </w:rPr>
        <w:t>The word 'testament' in the expression New Testament refers to a new 'covenant' or alliance that Christians believe God makes with the people of Israel, described in the books of the New Testament, which completes or fulfils what Christians refer to as the 'old' covenant of God with the people of Israel made on Mount Sinai through Moses, described in the books of the Old Testament.</w:t>
      </w:r>
      <w:r>
        <w:rPr>
          <w:rFonts w:ascii="Times New Roman" w:cs="Times New Roman" w:hAnsi="Times New Roman"/>
          <w:sz w:val="24"/>
          <w:szCs w:val="24"/>
        </w:rPr>
        <w:t xml:space="preserve"> Christians traditionally view this new covenant as being prophesized in the Hebrew Bible's book of Jeremiah (31:31): "The days are coming, declares the LORD, when I will make a new covenant with the people of Israel and with the people of Judah.</w:t>
      </w:r>
      <w:r>
        <w:rPr>
          <w:rFonts w:ascii="Times New Roman" w:cs="Times New Roman" w:hAnsi="Times New Roman"/>
          <w:sz w:val="24"/>
          <w:szCs w:val="24"/>
        </w:rPr>
        <w:t xml:space="preserve"> The</w:t>
      </w:r>
      <w:r>
        <w:rPr>
          <w:rFonts w:ascii="Times New Roman" w:cs="Times New Roman" w:hAnsi="Times New Roman"/>
          <w:sz w:val="24"/>
          <w:szCs w:val="24"/>
        </w:rPr>
        <w:t xml:space="preserve"> word covenant means 'agreement' (from Latin con-venio 'to agree' lit. 'to come together'): the use of the word testament, which describes the different idea of written instructions for inheritance after death, to refer to the covenant with Israel in the Old Testament, is foreign to the original Hebrew word brit (בְּרִית) describing it, which only means 'alliance, covenant, pact' and never 'inheritance instructions after death'.</w:t>
      </w:r>
      <w:r>
        <w:rPr>
          <w:rFonts w:ascii="Times New Roman" w:cs="Times New Roman" w:hAnsi="Times New Roman"/>
          <w:sz w:val="24"/>
          <w:szCs w:val="24"/>
        </w:rPr>
        <w:t xml:space="preserve"> This</w:t>
      </w:r>
      <w:r>
        <w:rPr>
          <w:rFonts w:ascii="Times New Roman" w:cs="Times New Roman" w:hAnsi="Times New Roman"/>
          <w:sz w:val="24"/>
          <w:szCs w:val="24"/>
        </w:rPr>
        <w:t xml:space="preserve"> use comes from the transcription of Latin testamentum 'will (left after death)',</w:t>
      </w:r>
      <w:r>
        <w:rPr>
          <w:rFonts w:ascii="Times New Roman" w:cs="Times New Roman" w:hAnsi="Times New Roman"/>
          <w:sz w:val="24"/>
          <w:szCs w:val="24"/>
        </w:rPr>
        <w:t xml:space="preserve"> a</w:t>
      </w:r>
      <w:r>
        <w:rPr>
          <w:rFonts w:ascii="Times New Roman" w:cs="Times New Roman" w:hAnsi="Times New Roman"/>
          <w:sz w:val="24"/>
          <w:szCs w:val="24"/>
        </w:rPr>
        <w:t xml:space="preserve"> literal translation of Greek diatheke (διαθήκη) 'will (left after death)',</w:t>
      </w:r>
      <w:r>
        <w:rPr>
          <w:rFonts w:ascii="Times New Roman" w:cs="Times New Roman" w:hAnsi="Times New Roman"/>
          <w:sz w:val="24"/>
          <w:szCs w:val="24"/>
        </w:rPr>
        <w:t xml:space="preserve"> which</w:t>
      </w:r>
      <w:r>
        <w:rPr>
          <w:rFonts w:ascii="Times New Roman" w:cs="Times New Roman" w:hAnsi="Times New Roman"/>
          <w:sz w:val="24"/>
          <w:szCs w:val="24"/>
        </w:rPr>
        <w:t xml:space="preserve"> is the word used to translate Hebrew brit in the</w:t>
      </w:r>
    </w:p>
    <w:p>
      <w:pPr>
        <w:pStyle w:val="style0"/>
        <w:spacing w:lineRule="auto" w:line="480"/>
        <w:jc w:val="left"/>
        <w:rPr>
          <w:rFonts w:ascii="Times New Roman" w:cs="Times New Roman" w:hAnsi="Times New Roman"/>
          <w:sz w:val="24"/>
          <w:szCs w:val="24"/>
        </w:rPr>
      </w:pPr>
      <w:r>
        <w:rPr>
          <w:rFonts w:ascii="Times New Roman" w:cs="Times New Roman" w:hAnsi="Times New Roman"/>
          <w:sz w:val="24"/>
          <w:szCs w:val="24"/>
        </w:rPr>
        <w:t xml:space="preserve">However, does </w:t>
      </w:r>
      <w:r>
        <w:rPr>
          <w:rFonts w:ascii="Times New Roman" w:cs="Times New Roman" w:hAnsi="Times New Roman"/>
          <w:sz w:val="24"/>
          <w:szCs w:val="24"/>
        </w:rPr>
        <w:t xml:space="preserve">the new </w:t>
      </w:r>
      <w:r>
        <w:rPr>
          <w:rFonts w:ascii="Times New Roman" w:cs="Times New Roman" w:hAnsi="Times New Roman"/>
          <w:sz w:val="24"/>
          <w:szCs w:val="24"/>
        </w:rPr>
        <w:t xml:space="preserve">testament exist? </w:t>
      </w:r>
      <w:r>
        <w:rPr>
          <w:rFonts w:ascii="Times New Roman" w:cs="Times New Roman" w:hAnsi="Times New Roman"/>
          <w:sz w:val="24"/>
          <w:szCs w:val="24"/>
        </w:rPr>
        <w:t>“Yes”</w:t>
      </w:r>
      <w:r>
        <w:rPr>
          <w:rFonts w:ascii="Times New Roman" w:cs="Times New Roman" w:hAnsi="Times New Roman"/>
          <w:sz w:val="24"/>
          <w:szCs w:val="24"/>
        </w:rPr>
        <w:t xml:space="preserve"> </w:t>
      </w:r>
      <w:r>
        <w:rPr>
          <w:rFonts w:ascii="Times New Roman" w:cs="Times New Roman" w:hAnsi="Times New Roman"/>
          <w:sz w:val="24"/>
          <w:szCs w:val="24"/>
        </w:rPr>
        <w:t xml:space="preserve"> </w:t>
      </w:r>
      <w:r>
        <w:rPr>
          <w:rFonts w:ascii="Times New Roman" w:cs="Times New Roman" w:hAnsi="Times New Roman"/>
          <w:sz w:val="24"/>
          <w:szCs w:val="24"/>
        </w:rPr>
        <w:t>t</w:t>
      </w:r>
      <w:r>
        <w:rPr>
          <w:rFonts w:ascii="Times New Roman" w:cs="Times New Roman" w:hAnsi="Times New Roman"/>
          <w:sz w:val="24"/>
          <w:szCs w:val="24"/>
        </w:rPr>
        <w:t>he</w:t>
      </w:r>
      <w:r>
        <w:rPr>
          <w:rFonts w:ascii="Times New Roman" w:cs="Times New Roman" w:hAnsi="Times New Roman"/>
          <w:sz w:val="24"/>
          <w:szCs w:val="24"/>
        </w:rPr>
        <w:t xml:space="preserve"> New</w:t>
      </w:r>
      <w:r>
        <w:rPr>
          <w:rFonts w:ascii="Times New Roman" w:cs="Times New Roman" w:hAnsi="Times New Roman"/>
          <w:sz w:val="24"/>
          <w:szCs w:val="24"/>
        </w:rPr>
        <w:t xml:space="preserve"> Testament </w:t>
      </w:r>
      <w:r>
        <w:rPr>
          <w:rFonts w:ascii="Times New Roman" w:cs="Times New Roman" w:hAnsi="Times New Roman"/>
          <w:sz w:val="24"/>
          <w:szCs w:val="24"/>
        </w:rPr>
        <w:t>Theology</w:t>
      </w:r>
      <w:r>
        <w:rPr>
          <w:rFonts w:ascii="Times New Roman" w:cs="Times New Roman" w:hAnsi="Times New Roman"/>
          <w:sz w:val="24"/>
          <w:szCs w:val="24"/>
        </w:rPr>
        <w:t xml:space="preserve"> exist</w:t>
      </w:r>
      <w:r>
        <w:rPr>
          <w:rFonts w:ascii="Times New Roman" w:cs="Times New Roman" w:hAnsi="Times New Roman"/>
          <w:sz w:val="24"/>
          <w:szCs w:val="24"/>
        </w:rPr>
        <w:t>s</w:t>
      </w:r>
      <w:r>
        <w:rPr>
          <w:rFonts w:ascii="Times New Roman" w:cs="Times New Roman" w:hAnsi="Times New Roman"/>
          <w:sz w:val="24"/>
          <w:szCs w:val="24"/>
        </w:rPr>
        <w:t xml:space="preserve">, </w:t>
      </w:r>
      <w:r>
        <w:rPr>
          <w:rFonts w:ascii="Times New Roman" w:cs="Times New Roman" w:hAnsi="Times New Roman"/>
          <w:sz w:val="24"/>
          <w:szCs w:val="24"/>
        </w:rPr>
        <w:t>however</w:t>
      </w:r>
      <w:r>
        <w:rPr>
          <w:rFonts w:ascii="Times New Roman" w:cs="Times New Roman" w:hAnsi="Times New Roman"/>
          <w:sz w:val="24"/>
          <w:szCs w:val="24"/>
        </w:rPr>
        <w:t>,</w:t>
      </w:r>
      <w:r>
        <w:rPr>
          <w:rFonts w:ascii="Times New Roman" w:cs="Times New Roman" w:hAnsi="Times New Roman"/>
          <w:sz w:val="24"/>
          <w:szCs w:val="24"/>
        </w:rPr>
        <w:t xml:space="preserve"> </w:t>
      </w:r>
      <w:r>
        <w:rPr>
          <w:rFonts w:ascii="Times New Roman" w:cs="Times New Roman" w:hAnsi="Times New Roman"/>
          <w:sz w:val="24"/>
          <w:szCs w:val="24"/>
        </w:rPr>
        <w:t>problematic</w:t>
      </w:r>
      <w:r>
        <w:rPr>
          <w:rFonts w:ascii="Times New Roman" w:cs="Times New Roman" w:hAnsi="Times New Roman"/>
          <w:sz w:val="24"/>
          <w:szCs w:val="24"/>
        </w:rPr>
        <w:t xml:space="preserve"> and</w:t>
      </w:r>
      <w:r>
        <w:rPr>
          <w:rFonts w:ascii="Times New Roman" w:cs="Times New Roman" w:hAnsi="Times New Roman"/>
          <w:sz w:val="24"/>
          <w:szCs w:val="24"/>
        </w:rPr>
        <w:t xml:space="preserve"> that is because the course is a distinct area of inquiry, emerge only with the rise of historical criticism. New Testament Theology is the exposition of the NT in grammatical, historical and cultural terms. The expression itself could be employed to cover the entire period from Christ’s inauguration of the New Covenant to the consummation of the redemptive program in the future, thereby setting in more adequate perspective seeming disparity </w:t>
      </w:r>
      <w:r>
        <w:rPr>
          <w:rFonts w:ascii="Times New Roman" w:cs="Times New Roman" w:hAnsi="Times New Roman"/>
          <w:sz w:val="24"/>
          <w:szCs w:val="24"/>
        </w:rPr>
        <w:t>between the thousands of years of OT history and the scarce one hundred years of the life of Jesus and the apostles.</w:t>
      </w:r>
    </w:p>
    <w:p>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 xml:space="preserve">Thus, as a course, it was </w:t>
      </w:r>
      <w:r>
        <w:rPr>
          <w:rFonts w:ascii="Times New Roman" w:cs="Times New Roman" w:hAnsi="Times New Roman"/>
          <w:sz w:val="24"/>
          <w:szCs w:val="24"/>
        </w:rPr>
        <w:t>accredited</w:t>
      </w:r>
      <w:r>
        <w:rPr>
          <w:rFonts w:ascii="Times New Roman" w:cs="Times New Roman" w:hAnsi="Times New Roman"/>
          <w:sz w:val="24"/>
          <w:szCs w:val="24"/>
        </w:rPr>
        <w:t xml:space="preserve"> to Philip </w:t>
      </w:r>
      <w:r>
        <w:rPr>
          <w:rFonts w:ascii="Times New Roman" w:cs="Times New Roman" w:hAnsi="Times New Roman"/>
          <w:sz w:val="24"/>
          <w:szCs w:val="24"/>
        </w:rPr>
        <w:t>Gabler’s</w:t>
      </w:r>
      <w:r>
        <w:rPr>
          <w:rFonts w:ascii="Times New Roman" w:cs="Times New Roman" w:hAnsi="Times New Roman"/>
          <w:sz w:val="24"/>
          <w:szCs w:val="24"/>
        </w:rPr>
        <w:t xml:space="preserve"> inaugural lecture, “Discourse on the correct Distinction of Biblical and Dogmatic Theology and the correct definition of their Goals” in the year 1787. </w:t>
      </w:r>
      <w:r>
        <w:rPr>
          <w:rFonts w:ascii="Times New Roman" w:cs="Times New Roman" w:hAnsi="Times New Roman"/>
          <w:sz w:val="24"/>
          <w:szCs w:val="24"/>
        </w:rPr>
        <w:t xml:space="preserve">In his distinction he writes, “There is truly a biblical theology, of historical origin, conveying what the holy writers felt about divine matters; on the other hand there is dogmatic theology of didactic origin, teaching what each theologian philosophizes rationally about divine things, according to the measure of his ability or of the times, age, place, sect, school and other similar factors.” </w:t>
      </w:r>
      <w:r>
        <w:rPr>
          <w:rFonts w:ascii="Times New Roman" w:cs="Times New Roman" w:hAnsi="Times New Roman"/>
          <w:sz w:val="24"/>
          <w:szCs w:val="24"/>
        </w:rPr>
        <w:t xml:space="preserve">So, </w:t>
      </w:r>
      <w:r>
        <w:rPr>
          <w:rFonts w:ascii="Times New Roman" w:cs="Times New Roman" w:hAnsi="Times New Roman"/>
          <w:sz w:val="24"/>
          <w:szCs w:val="24"/>
        </w:rPr>
        <w:t>Gabler</w:t>
      </w:r>
      <w:r>
        <w:rPr>
          <w:rFonts w:ascii="Times New Roman" w:cs="Times New Roman" w:hAnsi="Times New Roman"/>
          <w:sz w:val="24"/>
          <w:szCs w:val="24"/>
        </w:rPr>
        <w:t xml:space="preserve"> was concerned </w:t>
      </w:r>
      <w:r>
        <w:rPr>
          <w:rFonts w:ascii="Times New Roman" w:cs="Times New Roman" w:hAnsi="Times New Roman"/>
          <w:sz w:val="24"/>
          <w:szCs w:val="24"/>
        </w:rPr>
        <w:t>about current conflicting biblical interpretations and attacked three types of interpretation: the orthodox, who interpreted the bible only from doctrinal categories; the Biblicist-</w:t>
      </w:r>
      <w:r>
        <w:rPr>
          <w:rFonts w:ascii="Times New Roman" w:cs="Times New Roman" w:hAnsi="Times New Roman"/>
          <w:sz w:val="24"/>
          <w:szCs w:val="24"/>
        </w:rPr>
        <w:t>pietists</w:t>
      </w:r>
      <w:r>
        <w:rPr>
          <w:rFonts w:ascii="Times New Roman" w:cs="Times New Roman" w:hAnsi="Times New Roman"/>
          <w:sz w:val="24"/>
          <w:szCs w:val="24"/>
        </w:rPr>
        <w:t>, who were content to repeat biblical formulae; and the rationalists, who imported their own convictions into biblical exegesis.</w:t>
      </w:r>
    </w:p>
    <w:p>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 xml:space="preserve">Again, a scholar like </w:t>
      </w:r>
      <w:r>
        <w:rPr>
          <w:rFonts w:ascii="Times New Roman" w:cs="Times New Roman" w:hAnsi="Times New Roman"/>
          <w:sz w:val="24"/>
          <w:szCs w:val="24"/>
        </w:rPr>
        <w:t>Wrede</w:t>
      </w:r>
      <w:r>
        <w:rPr>
          <w:rFonts w:ascii="Times New Roman" w:cs="Times New Roman" w:hAnsi="Times New Roman"/>
          <w:sz w:val="24"/>
          <w:szCs w:val="24"/>
        </w:rPr>
        <w:t xml:space="preserve"> argues energetically that New Testament Theology as an enterprise is simply historical </w:t>
      </w:r>
      <w:r>
        <w:rPr>
          <w:rFonts w:ascii="Times New Roman" w:cs="Times New Roman" w:hAnsi="Times New Roman"/>
          <w:sz w:val="24"/>
          <w:szCs w:val="24"/>
        </w:rPr>
        <w:t>discipline</w:t>
      </w:r>
      <w:r>
        <w:rPr>
          <w:rFonts w:ascii="Times New Roman" w:cs="Times New Roman" w:hAnsi="Times New Roman"/>
          <w:sz w:val="24"/>
          <w:szCs w:val="24"/>
        </w:rPr>
        <w:t xml:space="preserve"> intended </w:t>
      </w:r>
      <w:r>
        <w:rPr>
          <w:rFonts w:ascii="Times New Roman" w:cs="Times New Roman" w:hAnsi="Times New Roman"/>
          <w:sz w:val="24"/>
          <w:szCs w:val="24"/>
        </w:rPr>
        <w:t xml:space="preserve">to disclose only the religion of biblical authors. While another scholar, </w:t>
      </w:r>
      <w:r>
        <w:rPr>
          <w:rFonts w:ascii="Times New Roman" w:cs="Times New Roman" w:hAnsi="Times New Roman"/>
          <w:sz w:val="24"/>
          <w:szCs w:val="24"/>
        </w:rPr>
        <w:t>Schlatter</w:t>
      </w:r>
      <w:r>
        <w:rPr>
          <w:rFonts w:ascii="Times New Roman" w:cs="Times New Roman" w:hAnsi="Times New Roman"/>
          <w:sz w:val="24"/>
          <w:szCs w:val="24"/>
        </w:rPr>
        <w:t xml:space="preserve">, recognizes the demands and limitations of historical criticisms, in so </w:t>
      </w:r>
      <w:r>
        <w:rPr>
          <w:rFonts w:ascii="Times New Roman" w:cs="Times New Roman" w:hAnsi="Times New Roman"/>
          <w:sz w:val="24"/>
          <w:szCs w:val="24"/>
        </w:rPr>
        <w:t xml:space="preserve">doing stressing the normative quality of NT theology by arguing that history itself became the medium of revelation and postulating </w:t>
      </w:r>
      <w:r>
        <w:rPr>
          <w:rFonts w:ascii="Times New Roman" w:cs="Times New Roman" w:hAnsi="Times New Roman"/>
          <w:sz w:val="24"/>
          <w:szCs w:val="24"/>
        </w:rPr>
        <w:t>an</w:t>
      </w:r>
      <w:r>
        <w:rPr>
          <w:rFonts w:ascii="Times New Roman" w:cs="Times New Roman" w:hAnsi="Times New Roman"/>
          <w:sz w:val="24"/>
          <w:szCs w:val="24"/>
        </w:rPr>
        <w:t xml:space="preserve"> Christological center to the NT writings</w:t>
      </w:r>
      <w:r>
        <w:rPr>
          <w:rFonts w:ascii="Times New Roman" w:cs="Times New Roman" w:hAnsi="Times New Roman"/>
          <w:sz w:val="24"/>
          <w:szCs w:val="24"/>
        </w:rPr>
        <w:t xml:space="preserve">. But then, to the tension between purely historical description and normative interpretation, a number of other issues make NT theology a sometimes vague endeavor. </w:t>
      </w:r>
    </w:p>
    <w:p>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 xml:space="preserve">Similarly, notwithstanding the complexity of issues surrounding NT theology and the lack of consensus on either its task or its method, it has been called “the high point, as it were, to which the </w:t>
      </w:r>
      <w:r>
        <w:rPr>
          <w:rFonts w:ascii="Times New Roman" w:cs="Times New Roman" w:hAnsi="Times New Roman"/>
          <w:sz w:val="24"/>
          <w:szCs w:val="24"/>
        </w:rPr>
        <w:t>arduous</w:t>
      </w:r>
      <w:r>
        <w:rPr>
          <w:rFonts w:ascii="Times New Roman" w:cs="Times New Roman" w:hAnsi="Times New Roman"/>
          <w:sz w:val="24"/>
          <w:szCs w:val="24"/>
        </w:rPr>
        <w:t xml:space="preserve"> mountain </w:t>
      </w:r>
      <w:r>
        <w:rPr>
          <w:rFonts w:ascii="Times New Roman" w:cs="Times New Roman" w:hAnsi="Times New Roman"/>
          <w:sz w:val="24"/>
          <w:szCs w:val="24"/>
        </w:rPr>
        <w:t>paths of New Testament exegesis lead, and the vantage point from which one can look back upon them.” There is no mistake saying that NT theology presents a number of paradoxes.</w:t>
      </w:r>
    </w:p>
    <w:p>
      <w:pPr>
        <w:pStyle w:val="style0"/>
        <w:spacing w:after="0" w:lineRule="auto" w:line="480"/>
        <w:jc w:val="both"/>
        <w:rPr>
          <w:rFonts w:ascii="Times New Roman" w:cs="Times New Roman" w:hAnsi="Times New Roman"/>
          <w:b/>
          <w:sz w:val="24"/>
          <w:szCs w:val="24"/>
        </w:rPr>
      </w:pPr>
      <w:r>
        <w:rPr>
          <w:rFonts w:ascii="Times New Roman" w:cs="Times New Roman" w:hAnsi="Times New Roman"/>
          <w:sz w:val="24"/>
          <w:szCs w:val="24"/>
        </w:rPr>
        <w:t xml:space="preserve">QUESTION 2: </w:t>
      </w:r>
      <w:r>
        <w:rPr>
          <w:rFonts w:ascii="Times New Roman" w:cs="Times New Roman" w:hAnsi="Times New Roman"/>
          <w:b/>
          <w:sz w:val="24"/>
          <w:szCs w:val="24"/>
        </w:rPr>
        <w:t>PNEUMATOLOGY IN THE LUKE</w:t>
      </w:r>
    </w:p>
    <w:p>
      <w:pPr>
        <w:pStyle w:val="style0"/>
        <w:spacing w:after="0" w:lineRule="auto" w:line="480"/>
        <w:jc w:val="both"/>
        <w:rPr>
          <w:rFonts w:ascii="Times New Roman" w:cs="Times New Roman" w:hAnsi="Times New Roman"/>
          <w:sz w:val="24"/>
          <w:szCs w:val="24"/>
        </w:rPr>
      </w:pPr>
      <w:r>
        <w:rPr>
          <w:rFonts w:ascii="Times New Roman" w:cs="Times New Roman" w:hAnsi="Times New Roman"/>
          <w:b/>
          <w:sz w:val="24"/>
          <w:szCs w:val="24"/>
        </w:rPr>
        <w:t>Answer</w:t>
      </w:r>
      <w:r>
        <w:rPr>
          <w:rFonts w:ascii="Times New Roman" w:cs="Times New Roman" w:hAnsi="Times New Roman"/>
          <w:sz w:val="24"/>
          <w:szCs w:val="24"/>
        </w:rPr>
        <w:t xml:space="preserve">: </w:t>
      </w:r>
      <w:r>
        <w:rPr>
          <w:rFonts w:ascii="Times New Roman" w:cs="Times New Roman" w:hAnsi="Times New Roman"/>
          <w:sz w:val="24"/>
          <w:szCs w:val="24"/>
        </w:rPr>
        <w:t>In the Lucan gospel “the Holy Spirit” was well given necessary attention. The historical line of salvation is dominated by the interventions of the Spirit. The Spirit is granted to some figures of the Gospel of childhood (1</w:t>
      </w:r>
      <w:r>
        <w:rPr>
          <w:rFonts w:ascii="Times New Roman" w:cs="Times New Roman" w:hAnsi="Times New Roman"/>
          <w:sz w:val="24"/>
          <w:szCs w:val="24"/>
        </w:rPr>
        <w:t>,13</w:t>
      </w:r>
      <w:r>
        <w:rPr>
          <w:rFonts w:ascii="Times New Roman" w:cs="Times New Roman" w:hAnsi="Times New Roman"/>
          <w:sz w:val="24"/>
          <w:szCs w:val="24"/>
        </w:rPr>
        <w:t>-17.35.41.67; 2,25-28), but as soon as Jesus is baptized (3,22), he becomes the only bearer of the Spirit. From then on, all heavenly inspiration available is concentrated in him: motion of the Spirit, vision, ecstasy, angelic intervention.</w:t>
      </w:r>
      <w:r>
        <w:rPr>
          <w:rFonts w:ascii="Times New Roman" w:cs="Times New Roman" w:hAnsi="Times New Roman"/>
          <w:sz w:val="24"/>
          <w:szCs w:val="24"/>
        </w:rPr>
        <w:t>However, it is this power that he promises to give to his disciples after his death (</w:t>
      </w:r>
      <w:r>
        <w:rPr>
          <w:rFonts w:ascii="Times New Roman" w:cs="Times New Roman" w:hAnsi="Times New Roman"/>
          <w:sz w:val="24"/>
          <w:szCs w:val="24"/>
        </w:rPr>
        <w:t>Lk</w:t>
      </w:r>
      <w:r>
        <w:rPr>
          <w:rFonts w:ascii="Times New Roman" w:cs="Times New Roman" w:hAnsi="Times New Roman"/>
          <w:sz w:val="24"/>
          <w:szCs w:val="24"/>
        </w:rPr>
        <w:t xml:space="preserve"> 24:49; Acts 1:8), which will be realized at Pentecost. From then on, the apostles, then the evangelists (Acts 8), then the believers of Samaria (Acts 8:15-17), then those who came from paganism (Acts 10:44-48) will receive the Holy Spirit as their share. But let us note that the reception of the Spirit is constantly linked to Jesus, to the reception of the Gospel, to the </w:t>
      </w:r>
      <w:r>
        <w:rPr>
          <w:rFonts w:ascii="Times New Roman" w:cs="Times New Roman" w:hAnsi="Times New Roman"/>
          <w:sz w:val="24"/>
          <w:szCs w:val="24"/>
        </w:rPr>
        <w:t>baptism</w:t>
      </w:r>
      <w:r>
        <w:rPr>
          <w:rFonts w:ascii="Times New Roman" w:cs="Times New Roman" w:hAnsi="Times New Roman"/>
          <w:sz w:val="24"/>
          <w:szCs w:val="24"/>
        </w:rPr>
        <w:t xml:space="preserve"> in Jesus Christ.</w:t>
      </w:r>
    </w:p>
    <w:p>
      <w:pPr>
        <w:pStyle w:val="style0"/>
        <w:spacing w:after="0" w:lineRule="auto" w:line="480"/>
        <w:jc w:val="both"/>
        <w:rPr>
          <w:rFonts w:ascii="Times New Roman" w:cs="Times New Roman" w:hAnsi="Times New Roman"/>
          <w:sz w:val="24"/>
          <w:szCs w:val="24"/>
        </w:rPr>
      </w:pPr>
    </w:p>
    <w:p>
      <w:pPr>
        <w:pStyle w:val="style0"/>
        <w:spacing w:lineRule="auto" w:line="480"/>
        <w:jc w:val="both"/>
        <w:rPr>
          <w:rFonts w:ascii="Times New Roman" w:cs="Times New Roman" w:hAnsi="Times New Roman"/>
          <w:sz w:val="24"/>
          <w:szCs w:val="24"/>
        </w:rPr>
      </w:pPr>
    </w:p>
    <w:p>
      <w:pPr>
        <w:pStyle w:val="style0"/>
        <w:spacing w:lineRule="auto" w:line="480"/>
        <w:jc w:val="both"/>
        <w:rPr>
          <w:rFonts w:ascii="Times New Roman" w:cs="Times New Roman" w:hAnsi="Times New Roman"/>
          <w:sz w:val="24"/>
          <w:szCs w:val="24"/>
        </w:rPr>
      </w:pPr>
    </w:p>
    <w:p>
      <w:pPr>
        <w:pStyle w:val="style0"/>
        <w:spacing w:lineRule="auto" w:line="480"/>
        <w:jc w:val="both"/>
        <w:rPr>
          <w:rFonts w:ascii="Times New Roman" w:cs="Times New Roman" w:hAnsi="Times New Roman"/>
          <w:sz w:val="24"/>
          <w:szCs w:val="24"/>
        </w:rPr>
      </w:pPr>
    </w:p>
    <w:p>
      <w:pPr>
        <w:pStyle w:val="style0"/>
        <w:spacing w:lineRule="auto" w:line="480"/>
        <w:jc w:val="both"/>
        <w:rPr>
          <w:rFonts w:ascii="Times New Roman" w:cs="Times New Roman" w:hAnsi="Times New Roman"/>
          <w:sz w:val="24"/>
          <w:szCs w:val="24"/>
        </w:rPr>
      </w:pPr>
    </w:p>
    <w:p>
      <w:pPr>
        <w:pStyle w:val="style0"/>
        <w:spacing w:lineRule="auto" w:line="480"/>
        <w:jc w:val="both"/>
        <w:rPr>
          <w:rFonts w:ascii="Times New Roman" w:cs="Times New Roman" w:hAnsi="Times New Roman"/>
          <w:sz w:val="24"/>
          <w:szCs w:val="24"/>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00002FF" w:usb1="4000ACFF" w:usb2="00000001" w:usb3="00000000" w:csb0="0000019F" w:csb1="00000000"/>
  </w:font>
  <w:font w:name="Times New Roman">
    <w:altName w:val="Times New Roman"/>
    <w:panose1 w:val="02020603050000020304"/>
    <w:charset w:val="00"/>
    <w:family w:val="roman"/>
    <w:pitch w:val="variable"/>
    <w:sig w:usb0="E0002EFF" w:usb1="C0007843" w:usb2="00000009" w:usb3="00000000" w:csb0="000001FF" w:csb1="00000000"/>
  </w:font>
  <w:font w:name="Cambria">
    <w:altName w:val="Cambria"/>
    <w:panose1 w:val="02040503050000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1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cumentProtection w:edit="none" w:enforcement="0"/>
  <w:defaultTabStop w:val="720"/>
  <w:characterSpacingControl w:val="doNotCompress"/>
  <w:compat/>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w="http://schemas.openxmlformats.org/wordprocessingml/2006/main">
  <w:docDefaults>
    <w:rPrDefault>
      <w:rPr>
        <w:rFonts w:asciiTheme="minorHAnsi" w:eastAsiaTheme="minorHAnsi" w:hAnsiTheme="minorHAnsi" w:cstheme="minorBidi"/>
        <w:sz w:val="22"/>
        <w:szCs w:val="22"/>
        <w:lang w:val="en-US" w:bidi="ar-SA" w:eastAsia="en-US"/>
      </w:rPr>
    </w:rPrDefault>
    <w:pPrDefault>
      <w:pPr>
        <w:spacing w:after="200" w:lineRule="auto" w:line="276"/>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qFormat/>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Words>812</Words>
  <Characters>4320</Characters>
  <Application>WPS Office</Application>
  <DocSecurity>0</DocSecurity>
  <Paragraphs>16</Paragraphs>
  <ScaleCrop>false</ScaleCrop>
  <LinksUpToDate>false</LinksUpToDate>
  <CharactersWithSpaces>5125</CharactersWithSpaces>
  <SharedDoc>false</SharedDoc>
  <HyperlinksChanged>false</HyperlinksChanged>
  <AppVersion>12.000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2021-02-04T01:25:55Z</dcterms:created>
  <dc:creator>PETER</dc:creator>
  <lastModifiedBy>TECNO BB4</lastModifiedBy>
  <dcterms:modified xsi:type="dcterms:W3CDTF">2021-02-04T11:04:33Z</dcterms:modified>
  <revision>2</revision>
</coreProperties>
</file>