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112" w:rsidRPr="00615945" w:rsidRDefault="00615945">
      <w:pPr>
        <w:rPr>
          <w:rFonts w:ascii="Times New Roman" w:hAnsi="Times New Roman" w:cs="Times New Roman"/>
          <w:sz w:val="24"/>
          <w:szCs w:val="24"/>
        </w:rPr>
      </w:pPr>
      <w:r w:rsidRPr="00615945">
        <w:rPr>
          <w:rFonts w:ascii="Times New Roman" w:hAnsi="Times New Roman" w:cs="Times New Roman"/>
          <w:sz w:val="24"/>
          <w:szCs w:val="24"/>
        </w:rPr>
        <w:t xml:space="preserve">NAME: </w:t>
      </w:r>
      <w:proofErr w:type="spellStart"/>
      <w:r w:rsidRPr="00615945">
        <w:rPr>
          <w:rFonts w:ascii="Times New Roman" w:hAnsi="Times New Roman" w:cs="Times New Roman"/>
          <w:sz w:val="24"/>
          <w:szCs w:val="24"/>
        </w:rPr>
        <w:t>Ikum</w:t>
      </w:r>
      <w:proofErr w:type="spellEnd"/>
      <w:r w:rsidRPr="00615945">
        <w:rPr>
          <w:rFonts w:ascii="Times New Roman" w:hAnsi="Times New Roman" w:cs="Times New Roman"/>
          <w:sz w:val="24"/>
          <w:szCs w:val="24"/>
        </w:rPr>
        <w:t xml:space="preserve"> Cyprian</w:t>
      </w:r>
    </w:p>
    <w:p w:rsidR="00615945" w:rsidRPr="00615945" w:rsidRDefault="00615945">
      <w:pPr>
        <w:rPr>
          <w:rFonts w:ascii="Times New Roman" w:hAnsi="Times New Roman" w:cs="Times New Roman"/>
          <w:sz w:val="24"/>
          <w:szCs w:val="24"/>
        </w:rPr>
      </w:pPr>
      <w:r w:rsidRPr="00615945">
        <w:rPr>
          <w:rFonts w:ascii="Times New Roman" w:hAnsi="Times New Roman" w:cs="Times New Roman"/>
          <w:sz w:val="24"/>
          <w:szCs w:val="24"/>
        </w:rPr>
        <w:t>Matric No: DI/TH/758</w:t>
      </w:r>
    </w:p>
    <w:p w:rsidR="00615945" w:rsidRPr="00615945" w:rsidRDefault="00615945">
      <w:pPr>
        <w:rPr>
          <w:rFonts w:ascii="Times New Roman" w:hAnsi="Times New Roman" w:cs="Times New Roman"/>
          <w:sz w:val="24"/>
          <w:szCs w:val="24"/>
        </w:rPr>
      </w:pPr>
      <w:r w:rsidRPr="00615945">
        <w:rPr>
          <w:rFonts w:ascii="Times New Roman" w:hAnsi="Times New Roman" w:cs="Times New Roman"/>
          <w:sz w:val="24"/>
          <w:szCs w:val="24"/>
        </w:rPr>
        <w:t>Course: New Testament Theology</w:t>
      </w:r>
    </w:p>
    <w:p w:rsidR="00615945" w:rsidRDefault="00615945" w:rsidP="00615945">
      <w:pPr>
        <w:jc w:val="center"/>
        <w:rPr>
          <w:rFonts w:ascii="Times New Roman" w:hAnsi="Times New Roman" w:cs="Times New Roman"/>
          <w:b/>
          <w:sz w:val="24"/>
          <w:szCs w:val="24"/>
        </w:rPr>
      </w:pPr>
      <w:r w:rsidRPr="00615945">
        <w:rPr>
          <w:rFonts w:ascii="Times New Roman" w:hAnsi="Times New Roman" w:cs="Times New Roman"/>
          <w:b/>
          <w:sz w:val="24"/>
          <w:szCs w:val="24"/>
        </w:rPr>
        <w:t>First Semester Examination</w:t>
      </w:r>
    </w:p>
    <w:p w:rsidR="00615945" w:rsidRDefault="00615945" w:rsidP="00615945">
      <w:pPr>
        <w:rPr>
          <w:rFonts w:ascii="Times New Roman" w:hAnsi="Times New Roman" w:cs="Times New Roman"/>
          <w:b/>
          <w:sz w:val="24"/>
          <w:szCs w:val="24"/>
        </w:rPr>
      </w:pPr>
      <w:r>
        <w:rPr>
          <w:rFonts w:ascii="Times New Roman" w:hAnsi="Times New Roman" w:cs="Times New Roman"/>
          <w:b/>
          <w:sz w:val="24"/>
          <w:szCs w:val="24"/>
        </w:rPr>
        <w:t xml:space="preserve">Q. 1 </w:t>
      </w:r>
      <w:r w:rsidRPr="00615945">
        <w:rPr>
          <w:rFonts w:ascii="Times New Roman" w:hAnsi="Times New Roman" w:cs="Times New Roman"/>
          <w:sz w:val="24"/>
          <w:szCs w:val="24"/>
        </w:rPr>
        <w:t>“The New Testament Theology” is the title of some academic syllabi (courses). Does it exist?</w:t>
      </w:r>
      <w:r w:rsidRPr="00615945">
        <w:rPr>
          <w:rFonts w:ascii="Times New Roman" w:hAnsi="Times New Roman" w:cs="Times New Roman"/>
          <w:b/>
          <w:sz w:val="24"/>
          <w:szCs w:val="24"/>
        </w:rPr>
        <w:t xml:space="preserve"> </w:t>
      </w:r>
    </w:p>
    <w:p w:rsidR="00615945" w:rsidRDefault="00615945" w:rsidP="00615945">
      <w:pPr>
        <w:rPr>
          <w:rFonts w:ascii="Times New Roman" w:hAnsi="Times New Roman" w:cs="Times New Roman"/>
          <w:b/>
          <w:sz w:val="24"/>
          <w:szCs w:val="24"/>
        </w:rPr>
      </w:pPr>
      <w:r>
        <w:rPr>
          <w:rFonts w:ascii="Times New Roman" w:hAnsi="Times New Roman" w:cs="Times New Roman"/>
          <w:b/>
          <w:sz w:val="24"/>
          <w:szCs w:val="24"/>
        </w:rPr>
        <w:t>Preamble</w:t>
      </w:r>
    </w:p>
    <w:p w:rsidR="00615945" w:rsidRDefault="00615945" w:rsidP="00C7259A">
      <w:pPr>
        <w:ind w:firstLine="720"/>
        <w:jc w:val="both"/>
        <w:rPr>
          <w:rFonts w:ascii="Times New Roman" w:hAnsi="Times New Roman" w:cs="Times New Roman"/>
          <w:sz w:val="24"/>
          <w:szCs w:val="24"/>
        </w:rPr>
      </w:pPr>
      <w:r>
        <w:rPr>
          <w:rFonts w:ascii="Times New Roman" w:hAnsi="Times New Roman" w:cs="Times New Roman"/>
          <w:sz w:val="24"/>
          <w:szCs w:val="24"/>
        </w:rPr>
        <w:t>Meanw</w:t>
      </w:r>
      <w:r w:rsidRPr="00615945">
        <w:rPr>
          <w:rFonts w:ascii="Times New Roman" w:hAnsi="Times New Roman" w:cs="Times New Roman"/>
          <w:sz w:val="24"/>
          <w:szCs w:val="24"/>
        </w:rPr>
        <w:t>hile</w:t>
      </w:r>
      <w:r>
        <w:rPr>
          <w:rFonts w:ascii="Times New Roman" w:hAnsi="Times New Roman" w:cs="Times New Roman"/>
          <w:sz w:val="24"/>
          <w:szCs w:val="24"/>
        </w:rPr>
        <w:t xml:space="preserve">, </w:t>
      </w:r>
      <w:r w:rsidRPr="00615945">
        <w:rPr>
          <w:rFonts w:ascii="Times New Roman" w:hAnsi="Times New Roman" w:cs="Times New Roman"/>
          <w:sz w:val="24"/>
          <w:szCs w:val="24"/>
        </w:rPr>
        <w:t xml:space="preserve">recent contributions have been diverse in style as well as approach, one common feature is their attention to the issue of the unity and diversity of the NT. The </w:t>
      </w:r>
      <w:r>
        <w:rPr>
          <w:rFonts w:ascii="Times New Roman" w:hAnsi="Times New Roman" w:cs="Times New Roman"/>
          <w:sz w:val="24"/>
          <w:szCs w:val="24"/>
        </w:rPr>
        <w:t>reason</w:t>
      </w:r>
      <w:r w:rsidRPr="00615945">
        <w:rPr>
          <w:rFonts w:ascii="Times New Roman" w:hAnsi="Times New Roman" w:cs="Times New Roman"/>
          <w:sz w:val="24"/>
          <w:szCs w:val="24"/>
        </w:rPr>
        <w:t xml:space="preserve"> f</w:t>
      </w:r>
      <w:r>
        <w:rPr>
          <w:rFonts w:ascii="Times New Roman" w:hAnsi="Times New Roman" w:cs="Times New Roman"/>
          <w:sz w:val="24"/>
          <w:szCs w:val="24"/>
        </w:rPr>
        <w:t>or</w:t>
      </w:r>
      <w:r w:rsidRPr="00615945">
        <w:rPr>
          <w:rFonts w:ascii="Times New Roman" w:hAnsi="Times New Roman" w:cs="Times New Roman"/>
          <w:sz w:val="24"/>
          <w:szCs w:val="24"/>
        </w:rPr>
        <w:t xml:space="preserve"> this is to briefly survey some of the more important recent contributions to NTT, highlighting the ways in which they address this topic. I will argue that although the theme of unity and diversity has been treated in nearly every NTT publication, it has yet to be articulated in a way that does justice to the unifying narrative structure of the NT message while simultaneously taking account of the unique contribution of each NT document.</w:t>
      </w:r>
    </w:p>
    <w:p w:rsidR="00615945" w:rsidRPr="00615945" w:rsidRDefault="00615945" w:rsidP="00615945">
      <w:pPr>
        <w:jc w:val="both"/>
        <w:rPr>
          <w:rFonts w:ascii="Times New Roman" w:hAnsi="Times New Roman" w:cs="Times New Roman"/>
          <w:b/>
          <w:sz w:val="24"/>
          <w:szCs w:val="24"/>
        </w:rPr>
      </w:pPr>
      <w:r w:rsidRPr="00615945">
        <w:rPr>
          <w:rFonts w:ascii="Times New Roman" w:hAnsi="Times New Roman" w:cs="Times New Roman"/>
          <w:b/>
          <w:sz w:val="24"/>
          <w:szCs w:val="24"/>
        </w:rPr>
        <w:t>Unity in diversity in New Testament</w:t>
      </w:r>
    </w:p>
    <w:p w:rsidR="00C7259A" w:rsidRDefault="00C7259A" w:rsidP="00C7259A">
      <w:pPr>
        <w:ind w:firstLine="720"/>
        <w:jc w:val="both"/>
      </w:pPr>
      <w:r w:rsidRPr="00C7259A">
        <w:rPr>
          <w:rFonts w:ascii="Times New Roman" w:hAnsi="Times New Roman" w:cs="Times New Roman"/>
          <w:sz w:val="24"/>
          <w:szCs w:val="24"/>
        </w:rPr>
        <w:t>As</w:t>
      </w:r>
      <w:r>
        <w:rPr>
          <w:rFonts w:ascii="Times New Roman" w:hAnsi="Times New Roman" w:cs="Times New Roman"/>
          <w:b/>
          <w:sz w:val="24"/>
          <w:szCs w:val="24"/>
        </w:rPr>
        <w:t xml:space="preserve"> </w:t>
      </w:r>
      <w:r w:rsidR="00615945" w:rsidRPr="00615945">
        <w:rPr>
          <w:rFonts w:ascii="Times New Roman" w:hAnsi="Times New Roman" w:cs="Times New Roman"/>
          <w:sz w:val="24"/>
          <w:szCs w:val="24"/>
        </w:rPr>
        <w:t>the field of NTT continues to grow</w:t>
      </w:r>
      <w:r>
        <w:rPr>
          <w:rFonts w:ascii="Times New Roman" w:hAnsi="Times New Roman" w:cs="Times New Roman"/>
          <w:sz w:val="24"/>
          <w:szCs w:val="24"/>
        </w:rPr>
        <w:t xml:space="preserve"> in exploring</w:t>
      </w:r>
      <w:r w:rsidR="00615945" w:rsidRPr="00615945">
        <w:rPr>
          <w:rFonts w:ascii="Times New Roman" w:hAnsi="Times New Roman" w:cs="Times New Roman"/>
          <w:sz w:val="24"/>
          <w:szCs w:val="24"/>
        </w:rPr>
        <w:t xml:space="preserve"> with the publication of new titles, it has not been without critics. For example, </w:t>
      </w:r>
      <w:proofErr w:type="spellStart"/>
      <w:r w:rsidR="00615945" w:rsidRPr="00C7259A">
        <w:rPr>
          <w:rFonts w:ascii="Times New Roman" w:hAnsi="Times New Roman" w:cs="Times New Roman"/>
          <w:i/>
          <w:sz w:val="24"/>
          <w:szCs w:val="24"/>
        </w:rPr>
        <w:t>Heikki</w:t>
      </w:r>
      <w:proofErr w:type="spellEnd"/>
      <w:r w:rsidR="00615945" w:rsidRPr="00C7259A">
        <w:rPr>
          <w:rFonts w:ascii="Times New Roman" w:hAnsi="Times New Roman" w:cs="Times New Roman"/>
          <w:i/>
          <w:sz w:val="24"/>
          <w:szCs w:val="24"/>
        </w:rPr>
        <w:t xml:space="preserve"> </w:t>
      </w:r>
      <w:proofErr w:type="spellStart"/>
      <w:r w:rsidR="00615945" w:rsidRPr="00C7259A">
        <w:rPr>
          <w:rFonts w:ascii="Times New Roman" w:hAnsi="Times New Roman" w:cs="Times New Roman"/>
          <w:i/>
          <w:sz w:val="24"/>
          <w:szCs w:val="24"/>
        </w:rPr>
        <w:t>Räisänen</w:t>
      </w:r>
      <w:proofErr w:type="spellEnd"/>
      <w:r w:rsidR="00615945" w:rsidRPr="00C7259A">
        <w:rPr>
          <w:rFonts w:ascii="Times New Roman" w:hAnsi="Times New Roman" w:cs="Times New Roman"/>
          <w:i/>
          <w:sz w:val="24"/>
          <w:szCs w:val="24"/>
        </w:rPr>
        <w:t xml:space="preserve"> </w:t>
      </w:r>
      <w:r w:rsidR="00615945" w:rsidRPr="00615945">
        <w:rPr>
          <w:rFonts w:ascii="Times New Roman" w:hAnsi="Times New Roman" w:cs="Times New Roman"/>
          <w:sz w:val="24"/>
          <w:szCs w:val="24"/>
        </w:rPr>
        <w:t xml:space="preserve">has called on NT scholars to abandon theological issues, focusing instead on historical research into early Christian thought and critical reflection on the influence of the NT in modern society. Seeking to resurrect the historical approach championed by </w:t>
      </w:r>
      <w:r w:rsidR="00615945" w:rsidRPr="00C7259A">
        <w:rPr>
          <w:rFonts w:ascii="Times New Roman" w:hAnsi="Times New Roman" w:cs="Times New Roman"/>
          <w:i/>
          <w:sz w:val="24"/>
          <w:szCs w:val="24"/>
        </w:rPr>
        <w:t xml:space="preserve">William </w:t>
      </w:r>
      <w:proofErr w:type="spellStart"/>
      <w:r w:rsidR="00615945" w:rsidRPr="00C7259A">
        <w:rPr>
          <w:rFonts w:ascii="Times New Roman" w:hAnsi="Times New Roman" w:cs="Times New Roman"/>
          <w:i/>
          <w:sz w:val="24"/>
          <w:szCs w:val="24"/>
        </w:rPr>
        <w:t>Wrede</w:t>
      </w:r>
      <w:proofErr w:type="spellEnd"/>
      <w:r w:rsidR="00615945" w:rsidRPr="00615945">
        <w:rPr>
          <w:rFonts w:ascii="Times New Roman" w:hAnsi="Times New Roman" w:cs="Times New Roman"/>
          <w:sz w:val="24"/>
          <w:szCs w:val="24"/>
        </w:rPr>
        <w:t xml:space="preserve"> and others, </w:t>
      </w:r>
      <w:proofErr w:type="spellStart"/>
      <w:r w:rsidR="00615945" w:rsidRPr="00C7259A">
        <w:rPr>
          <w:rFonts w:ascii="Times New Roman" w:hAnsi="Times New Roman" w:cs="Times New Roman"/>
          <w:i/>
          <w:sz w:val="24"/>
          <w:szCs w:val="24"/>
        </w:rPr>
        <w:t>Räisänen</w:t>
      </w:r>
      <w:proofErr w:type="spellEnd"/>
      <w:r w:rsidR="00615945" w:rsidRPr="00615945">
        <w:rPr>
          <w:rFonts w:ascii="Times New Roman" w:hAnsi="Times New Roman" w:cs="Times New Roman"/>
          <w:sz w:val="24"/>
          <w:szCs w:val="24"/>
        </w:rPr>
        <w:t xml:space="preserve"> holds that it was a “fatal mistake” for NT scholarship to move away from historical study and turn instead to theological concerns in the years following World War I.</w:t>
      </w:r>
      <w:r w:rsidRPr="00C7259A">
        <w:t xml:space="preserve"> </w:t>
      </w:r>
    </w:p>
    <w:p w:rsidR="00615945" w:rsidRPr="00C7259A" w:rsidRDefault="00C7259A" w:rsidP="00C7259A">
      <w:pPr>
        <w:ind w:firstLine="720"/>
        <w:jc w:val="both"/>
        <w:rPr>
          <w:rFonts w:ascii="Times New Roman" w:hAnsi="Times New Roman" w:cs="Times New Roman"/>
          <w:sz w:val="24"/>
          <w:szCs w:val="24"/>
        </w:rPr>
      </w:pPr>
      <w:r w:rsidRPr="00C7259A">
        <w:rPr>
          <w:rFonts w:ascii="Times New Roman" w:hAnsi="Times New Roman" w:cs="Times New Roman"/>
          <w:sz w:val="24"/>
          <w:szCs w:val="24"/>
        </w:rPr>
        <w:t xml:space="preserve">More recently, Thomas </w:t>
      </w:r>
      <w:proofErr w:type="spellStart"/>
      <w:r w:rsidRPr="00C7259A">
        <w:rPr>
          <w:rFonts w:ascii="Times New Roman" w:hAnsi="Times New Roman" w:cs="Times New Roman"/>
          <w:sz w:val="24"/>
          <w:szCs w:val="24"/>
        </w:rPr>
        <w:t>Hatina</w:t>
      </w:r>
      <w:proofErr w:type="spellEnd"/>
      <w:r w:rsidRPr="00C7259A">
        <w:rPr>
          <w:rFonts w:ascii="Times New Roman" w:hAnsi="Times New Roman" w:cs="Times New Roman"/>
          <w:sz w:val="24"/>
          <w:szCs w:val="24"/>
        </w:rPr>
        <w:t xml:space="preserve"> has argued that the discipline of NTT must set aside the quest for normativity and focus on summarizing the diverse theological tenets of the NT’s authors.</w:t>
      </w:r>
      <w:r w:rsidRPr="00C7259A">
        <w:t xml:space="preserve"> </w:t>
      </w:r>
      <w:r w:rsidRPr="00C7259A">
        <w:rPr>
          <w:rFonts w:ascii="Times New Roman" w:hAnsi="Times New Roman" w:cs="Times New Roman"/>
          <w:sz w:val="24"/>
          <w:szCs w:val="24"/>
        </w:rPr>
        <w:t xml:space="preserve">In short, for both </w:t>
      </w:r>
      <w:proofErr w:type="spellStart"/>
      <w:r w:rsidRPr="00C7259A">
        <w:rPr>
          <w:rFonts w:ascii="Times New Roman" w:hAnsi="Times New Roman" w:cs="Times New Roman"/>
          <w:sz w:val="24"/>
          <w:szCs w:val="24"/>
        </w:rPr>
        <w:t>Räisänen</w:t>
      </w:r>
      <w:proofErr w:type="spellEnd"/>
      <w:r w:rsidRPr="00C7259A">
        <w:rPr>
          <w:rFonts w:ascii="Times New Roman" w:hAnsi="Times New Roman" w:cs="Times New Roman"/>
          <w:sz w:val="24"/>
          <w:szCs w:val="24"/>
        </w:rPr>
        <w:t xml:space="preserve"> and </w:t>
      </w:r>
      <w:proofErr w:type="spellStart"/>
      <w:r w:rsidRPr="00C7259A">
        <w:rPr>
          <w:rFonts w:ascii="Times New Roman" w:hAnsi="Times New Roman" w:cs="Times New Roman"/>
          <w:sz w:val="24"/>
          <w:szCs w:val="24"/>
        </w:rPr>
        <w:t>Hatina</w:t>
      </w:r>
      <w:proofErr w:type="spellEnd"/>
      <w:r w:rsidRPr="00C7259A">
        <w:rPr>
          <w:rFonts w:ascii="Times New Roman" w:hAnsi="Times New Roman" w:cs="Times New Roman"/>
          <w:sz w:val="24"/>
          <w:szCs w:val="24"/>
        </w:rPr>
        <w:t xml:space="preserve">, unity and diversity is a non-issue, since a unified NTT is neither desirable nor even possible. </w:t>
      </w:r>
      <w:proofErr w:type="spellStart"/>
      <w:r w:rsidRPr="00C7259A">
        <w:rPr>
          <w:rFonts w:ascii="Times New Roman" w:hAnsi="Times New Roman" w:cs="Times New Roman"/>
          <w:sz w:val="24"/>
          <w:szCs w:val="24"/>
        </w:rPr>
        <w:t>Räisänen</w:t>
      </w:r>
      <w:proofErr w:type="spellEnd"/>
      <w:r w:rsidRPr="00C7259A">
        <w:rPr>
          <w:rFonts w:ascii="Times New Roman" w:hAnsi="Times New Roman" w:cs="Times New Roman"/>
          <w:sz w:val="24"/>
          <w:szCs w:val="24"/>
        </w:rPr>
        <w:t xml:space="preserve"> believes that scholars should avoid all theological construction, instead opting for historical investigation.</w:t>
      </w:r>
      <w:r>
        <w:rPr>
          <w:rFonts w:ascii="Times New Roman" w:hAnsi="Times New Roman" w:cs="Times New Roman"/>
          <w:sz w:val="24"/>
          <w:szCs w:val="24"/>
        </w:rPr>
        <w:t xml:space="preserve"> In fact</w:t>
      </w:r>
      <w:r w:rsidRPr="00C7259A">
        <w:rPr>
          <w:rFonts w:ascii="Times New Roman" w:hAnsi="Times New Roman" w:cs="Times New Roman"/>
          <w:sz w:val="24"/>
          <w:szCs w:val="24"/>
        </w:rPr>
        <w:t>, the following discussion</w:t>
      </w:r>
      <w:r>
        <w:rPr>
          <w:rFonts w:ascii="Times New Roman" w:hAnsi="Times New Roman" w:cs="Times New Roman"/>
          <w:sz w:val="24"/>
          <w:szCs w:val="24"/>
        </w:rPr>
        <w:t xml:space="preserve"> will</w:t>
      </w:r>
      <w:r w:rsidRPr="00C7259A">
        <w:rPr>
          <w:rFonts w:ascii="Times New Roman" w:hAnsi="Times New Roman" w:cs="Times New Roman"/>
          <w:sz w:val="24"/>
          <w:szCs w:val="24"/>
        </w:rPr>
        <w:t xml:space="preserve"> clearly demonstrate h</w:t>
      </w:r>
      <w:r>
        <w:rPr>
          <w:rFonts w:ascii="Times New Roman" w:hAnsi="Times New Roman" w:cs="Times New Roman"/>
          <w:sz w:val="24"/>
          <w:szCs w:val="24"/>
        </w:rPr>
        <w:t>ow</w:t>
      </w:r>
      <w:r w:rsidRPr="00C7259A">
        <w:rPr>
          <w:rFonts w:ascii="Times New Roman" w:hAnsi="Times New Roman" w:cs="Times New Roman"/>
          <w:sz w:val="24"/>
          <w:szCs w:val="24"/>
        </w:rPr>
        <w:t xml:space="preserve"> many scholars disagree with them regarding the alleged demise of NTT.</w:t>
      </w:r>
    </w:p>
    <w:p w:rsidR="00E46F5D" w:rsidRDefault="00756B6E" w:rsidP="00E46F5D">
      <w:pPr>
        <w:ind w:firstLine="720"/>
        <w:jc w:val="both"/>
        <w:rPr>
          <w:rFonts w:ascii="Times New Roman" w:hAnsi="Times New Roman" w:cs="Times New Roman"/>
          <w:sz w:val="24"/>
          <w:szCs w:val="24"/>
        </w:rPr>
      </w:pPr>
      <w:r>
        <w:rPr>
          <w:rFonts w:ascii="Times New Roman" w:hAnsi="Times New Roman" w:cs="Times New Roman"/>
          <w:sz w:val="24"/>
          <w:szCs w:val="24"/>
        </w:rPr>
        <w:t>Therefore</w:t>
      </w:r>
      <w:r w:rsidR="00E46F5D" w:rsidRPr="00755B34">
        <w:rPr>
          <w:rFonts w:ascii="Times New Roman" w:hAnsi="Times New Roman" w:cs="Times New Roman"/>
          <w:sz w:val="24"/>
          <w:szCs w:val="24"/>
        </w:rPr>
        <w:t>, Marshall argues that all the NT writers shared a common faith and a common purpose—the belief that the Messiah had come for the whole world. He begins with diversity and moves toward unity; his basic approach is to summarize the unique theological themes of each NT document and only then to show the basic lines of theological unity that span the canon, pushing beyond the writings themselves to the “underlying history and experience” of the writers.</w:t>
      </w:r>
    </w:p>
    <w:p w:rsidR="00E46F5D" w:rsidRDefault="00E46F5D" w:rsidP="00E46F5D">
      <w:pPr>
        <w:ind w:firstLine="720"/>
        <w:jc w:val="both"/>
        <w:rPr>
          <w:rFonts w:ascii="Times New Roman" w:hAnsi="Times New Roman" w:cs="Times New Roman"/>
          <w:sz w:val="24"/>
          <w:szCs w:val="24"/>
        </w:rPr>
      </w:pPr>
      <w:r w:rsidRPr="00755B34">
        <w:rPr>
          <w:rFonts w:ascii="Times New Roman" w:hAnsi="Times New Roman" w:cs="Times New Roman"/>
          <w:sz w:val="24"/>
          <w:szCs w:val="24"/>
        </w:rPr>
        <w:t>He makes little mention of its overall plot, particularly as this is related to the larger biblical narrative. The emphasis on mission, though helpful, does not go far enough in demonstrating the gospel story to be the center of the NT’s theological narrative. Instead, theological unity is shown through the enumeration of broad theological themes common to all the NT documents.</w:t>
      </w:r>
    </w:p>
    <w:p w:rsidR="00E46F5D" w:rsidRDefault="00E46F5D" w:rsidP="00E46F5D">
      <w:pPr>
        <w:jc w:val="both"/>
        <w:rPr>
          <w:rFonts w:ascii="Times New Roman" w:hAnsi="Times New Roman" w:cs="Times New Roman"/>
          <w:sz w:val="24"/>
          <w:szCs w:val="24"/>
        </w:rPr>
      </w:pPr>
      <w:r>
        <w:rPr>
          <w:rFonts w:ascii="Times New Roman" w:hAnsi="Times New Roman" w:cs="Times New Roman"/>
          <w:sz w:val="24"/>
          <w:szCs w:val="24"/>
        </w:rPr>
        <w:lastRenderedPageBreak/>
        <w:tab/>
      </w:r>
      <w:proofErr w:type="spellStart"/>
      <w:r w:rsidRPr="00755B34">
        <w:rPr>
          <w:rFonts w:ascii="Times New Roman" w:hAnsi="Times New Roman" w:cs="Times New Roman"/>
          <w:sz w:val="24"/>
          <w:szCs w:val="24"/>
        </w:rPr>
        <w:t>Thielman’s</w:t>
      </w:r>
      <w:proofErr w:type="spellEnd"/>
      <w:r w:rsidRPr="00755B34">
        <w:rPr>
          <w:rFonts w:ascii="Times New Roman" w:hAnsi="Times New Roman" w:cs="Times New Roman"/>
          <w:sz w:val="24"/>
          <w:szCs w:val="24"/>
        </w:rPr>
        <w:t xml:space="preserve"> </w:t>
      </w:r>
      <w:r>
        <w:rPr>
          <w:rFonts w:ascii="Times New Roman" w:hAnsi="Times New Roman" w:cs="Times New Roman"/>
          <w:sz w:val="24"/>
          <w:szCs w:val="24"/>
        </w:rPr>
        <w:t>major</w:t>
      </w:r>
      <w:r w:rsidRPr="00755B34">
        <w:rPr>
          <w:rFonts w:ascii="Times New Roman" w:hAnsi="Times New Roman" w:cs="Times New Roman"/>
          <w:sz w:val="24"/>
          <w:szCs w:val="24"/>
        </w:rPr>
        <w:t xml:space="preserve"> concern is to allow each book of the NT to speak for itself, thereby highlighting its unique theological contributions. Like Marshall, he is concerned to defend the uniqueness of each of the NT documents while at the same time demonstrating a fundamental unity across the NT canon.</w:t>
      </w:r>
      <w:r>
        <w:rPr>
          <w:rFonts w:ascii="Times New Roman" w:hAnsi="Times New Roman" w:cs="Times New Roman"/>
          <w:sz w:val="24"/>
          <w:szCs w:val="24"/>
        </w:rPr>
        <w:t xml:space="preserve"> </w:t>
      </w:r>
      <w:r w:rsidRPr="00755B34">
        <w:rPr>
          <w:rFonts w:ascii="Times New Roman" w:hAnsi="Times New Roman" w:cs="Times New Roman"/>
          <w:sz w:val="24"/>
          <w:szCs w:val="24"/>
        </w:rPr>
        <w:t>Though his approach is book-by-book, his method differs from Marshall’s in that he gives more attention to historical background and works through each book section-by-section in order to summarize its theological contents.</w:t>
      </w:r>
    </w:p>
    <w:p w:rsidR="00E46F5D" w:rsidRDefault="00E46F5D" w:rsidP="00E46F5D">
      <w:pPr>
        <w:jc w:val="both"/>
        <w:rPr>
          <w:rFonts w:ascii="Times New Roman" w:hAnsi="Times New Roman" w:cs="Times New Roman"/>
          <w:sz w:val="24"/>
          <w:szCs w:val="24"/>
        </w:rPr>
      </w:pPr>
      <w:r>
        <w:rPr>
          <w:rFonts w:ascii="Times New Roman" w:hAnsi="Times New Roman" w:cs="Times New Roman"/>
          <w:sz w:val="24"/>
          <w:szCs w:val="24"/>
        </w:rPr>
        <w:tab/>
      </w:r>
      <w:r w:rsidRPr="0014539B">
        <w:rPr>
          <w:rFonts w:ascii="Times New Roman" w:hAnsi="Times New Roman" w:cs="Times New Roman"/>
          <w:sz w:val="24"/>
          <w:szCs w:val="24"/>
        </w:rPr>
        <w:t xml:space="preserve">Like Marshall and </w:t>
      </w:r>
      <w:proofErr w:type="spellStart"/>
      <w:r w:rsidRPr="0014539B">
        <w:rPr>
          <w:rFonts w:ascii="Times New Roman" w:hAnsi="Times New Roman" w:cs="Times New Roman"/>
          <w:sz w:val="24"/>
          <w:szCs w:val="24"/>
        </w:rPr>
        <w:t>Thielman</w:t>
      </w:r>
      <w:proofErr w:type="spellEnd"/>
      <w:r w:rsidRPr="0014539B">
        <w:rPr>
          <w:rFonts w:ascii="Times New Roman" w:hAnsi="Times New Roman" w:cs="Times New Roman"/>
          <w:sz w:val="24"/>
          <w:szCs w:val="24"/>
        </w:rPr>
        <w:t xml:space="preserve">, Matera seeks to do justice to the diverse contributions of the various NT texts while showing that within this diversity there is a core of theological unity. Also like Marshall and </w:t>
      </w:r>
      <w:proofErr w:type="spellStart"/>
      <w:r w:rsidRPr="0014539B">
        <w:rPr>
          <w:rFonts w:ascii="Times New Roman" w:hAnsi="Times New Roman" w:cs="Times New Roman"/>
          <w:sz w:val="24"/>
          <w:szCs w:val="24"/>
        </w:rPr>
        <w:t>Thielman</w:t>
      </w:r>
      <w:proofErr w:type="spellEnd"/>
      <w:r w:rsidRPr="0014539B">
        <w:rPr>
          <w:rFonts w:ascii="Times New Roman" w:hAnsi="Times New Roman" w:cs="Times New Roman"/>
          <w:sz w:val="24"/>
          <w:szCs w:val="24"/>
        </w:rPr>
        <w:t>, he starts with diversity and moves toward unity.</w:t>
      </w:r>
      <w:r>
        <w:rPr>
          <w:rFonts w:ascii="Times New Roman" w:hAnsi="Times New Roman" w:cs="Times New Roman"/>
          <w:sz w:val="24"/>
          <w:szCs w:val="24"/>
        </w:rPr>
        <w:t xml:space="preserve"> Also, </w:t>
      </w:r>
      <w:r w:rsidRPr="0014539B">
        <w:rPr>
          <w:rFonts w:ascii="Times New Roman" w:hAnsi="Times New Roman" w:cs="Times New Roman"/>
          <w:sz w:val="24"/>
          <w:szCs w:val="24"/>
        </w:rPr>
        <w:t xml:space="preserve">Schreiner argues that “NT theology is God-focused, </w:t>
      </w:r>
      <w:proofErr w:type="spellStart"/>
      <w:r w:rsidRPr="0014539B">
        <w:rPr>
          <w:rFonts w:ascii="Times New Roman" w:hAnsi="Times New Roman" w:cs="Times New Roman"/>
          <w:i/>
          <w:sz w:val="24"/>
          <w:szCs w:val="24"/>
        </w:rPr>
        <w:t>Christcentered</w:t>
      </w:r>
      <w:proofErr w:type="spellEnd"/>
      <w:r w:rsidRPr="0014539B">
        <w:rPr>
          <w:rFonts w:ascii="Times New Roman" w:hAnsi="Times New Roman" w:cs="Times New Roman"/>
          <w:i/>
          <w:sz w:val="24"/>
          <w:szCs w:val="24"/>
        </w:rPr>
        <w:t>,</w:t>
      </w:r>
      <w:r w:rsidRPr="0014539B">
        <w:rPr>
          <w:rFonts w:ascii="Times New Roman" w:hAnsi="Times New Roman" w:cs="Times New Roman"/>
          <w:sz w:val="24"/>
          <w:szCs w:val="24"/>
        </w:rPr>
        <w:t xml:space="preserve"> and Spirit-saturated, but the work of the Father, Son, and Spirit must be understood along a salvation-historical timeline; that is, God’s promises are already fulfilled but not yet consummated in Christ Jesus.” His unique contribution lies in his exposition of the NT’s fundamental theological themes and his demonstration that these themes run throughout the canon</w:t>
      </w:r>
      <w:r>
        <w:rPr>
          <w:rFonts w:ascii="Times New Roman" w:hAnsi="Times New Roman" w:cs="Times New Roman"/>
          <w:sz w:val="24"/>
          <w:szCs w:val="24"/>
        </w:rPr>
        <w:t>.</w:t>
      </w:r>
    </w:p>
    <w:p w:rsidR="00E46F5D" w:rsidRDefault="00E46F5D" w:rsidP="00E46F5D">
      <w:pPr>
        <w:jc w:val="both"/>
        <w:rPr>
          <w:rFonts w:ascii="Times New Roman" w:hAnsi="Times New Roman" w:cs="Times New Roman"/>
          <w:sz w:val="24"/>
          <w:szCs w:val="24"/>
        </w:rPr>
      </w:pPr>
      <w:r>
        <w:rPr>
          <w:rFonts w:ascii="Times New Roman" w:hAnsi="Times New Roman" w:cs="Times New Roman"/>
          <w:sz w:val="24"/>
          <w:szCs w:val="24"/>
        </w:rPr>
        <w:tab/>
      </w:r>
      <w:r w:rsidRPr="0014539B">
        <w:rPr>
          <w:rFonts w:ascii="Times New Roman" w:hAnsi="Times New Roman" w:cs="Times New Roman"/>
          <w:sz w:val="24"/>
          <w:szCs w:val="24"/>
        </w:rPr>
        <w:t xml:space="preserve">For </w:t>
      </w:r>
      <w:proofErr w:type="spellStart"/>
      <w:r w:rsidRPr="0014539B">
        <w:rPr>
          <w:rFonts w:ascii="Times New Roman" w:hAnsi="Times New Roman" w:cs="Times New Roman"/>
          <w:sz w:val="24"/>
          <w:szCs w:val="24"/>
        </w:rPr>
        <w:t>Schnelle</w:t>
      </w:r>
      <w:proofErr w:type="spellEnd"/>
      <w:r w:rsidRPr="0014539B">
        <w:rPr>
          <w:rFonts w:ascii="Times New Roman" w:hAnsi="Times New Roman" w:cs="Times New Roman"/>
          <w:sz w:val="24"/>
          <w:szCs w:val="24"/>
        </w:rPr>
        <w:t xml:space="preserve">, “the task of a theology of the New Testament is to apprehend </w:t>
      </w:r>
      <w:r>
        <w:rPr>
          <w:rFonts w:ascii="Times New Roman" w:hAnsi="Times New Roman" w:cs="Times New Roman"/>
          <w:sz w:val="24"/>
          <w:szCs w:val="24"/>
        </w:rPr>
        <w:t>(</w:t>
      </w:r>
      <w:r w:rsidRPr="0014539B">
        <w:rPr>
          <w:rFonts w:ascii="Times New Roman" w:hAnsi="Times New Roman" w:cs="Times New Roman"/>
          <w:sz w:val="24"/>
          <w:szCs w:val="24"/>
        </w:rPr>
        <w:t>the NT authors’</w:t>
      </w:r>
      <w:r>
        <w:rPr>
          <w:rFonts w:ascii="Times New Roman" w:hAnsi="Times New Roman" w:cs="Times New Roman"/>
          <w:sz w:val="24"/>
          <w:szCs w:val="24"/>
        </w:rPr>
        <w:t>)</w:t>
      </w:r>
      <w:r w:rsidRPr="0014539B">
        <w:rPr>
          <w:rFonts w:ascii="Times New Roman" w:hAnsi="Times New Roman" w:cs="Times New Roman"/>
          <w:sz w:val="24"/>
          <w:szCs w:val="24"/>
        </w:rPr>
        <w:t xml:space="preserve"> achievements of meaning-formation and to present them in their theological, literary, and history-of</w:t>
      </w:r>
      <w:r>
        <w:rPr>
          <w:rFonts w:ascii="Times New Roman" w:hAnsi="Times New Roman" w:cs="Times New Roman"/>
          <w:sz w:val="24"/>
          <w:szCs w:val="24"/>
        </w:rPr>
        <w:t xml:space="preserve"> </w:t>
      </w:r>
      <w:r w:rsidRPr="0014539B">
        <w:rPr>
          <w:rFonts w:ascii="Times New Roman" w:hAnsi="Times New Roman" w:cs="Times New Roman"/>
          <w:sz w:val="24"/>
          <w:szCs w:val="24"/>
        </w:rPr>
        <w:t>religion dimensions. The aim is to facilitate authentic reception of the New Testament’s meaning-formation in the present.”</w:t>
      </w:r>
      <w:r>
        <w:rPr>
          <w:rFonts w:ascii="Times New Roman" w:hAnsi="Times New Roman" w:cs="Times New Roman"/>
          <w:sz w:val="24"/>
          <w:szCs w:val="24"/>
        </w:rPr>
        <w:t xml:space="preserve"> </w:t>
      </w:r>
      <w:r w:rsidRPr="0014539B">
        <w:rPr>
          <w:rFonts w:ascii="Times New Roman" w:hAnsi="Times New Roman" w:cs="Times New Roman"/>
          <w:sz w:val="24"/>
          <w:szCs w:val="24"/>
        </w:rPr>
        <w:t>By “meaning-formation” he means “establishing or maintaining a valid orientation to the world and to life.”</w:t>
      </w:r>
      <w:r>
        <w:rPr>
          <w:rFonts w:ascii="Times New Roman" w:hAnsi="Times New Roman" w:cs="Times New Roman"/>
          <w:sz w:val="24"/>
          <w:szCs w:val="24"/>
        </w:rPr>
        <w:t xml:space="preserve"> Moreover, </w:t>
      </w:r>
      <w:r w:rsidRPr="00AF0109">
        <w:rPr>
          <w:rFonts w:ascii="Times New Roman" w:hAnsi="Times New Roman" w:cs="Times New Roman"/>
          <w:sz w:val="24"/>
          <w:szCs w:val="24"/>
        </w:rPr>
        <w:t xml:space="preserve">For </w:t>
      </w:r>
      <w:r>
        <w:rPr>
          <w:rFonts w:ascii="Times New Roman" w:hAnsi="Times New Roman" w:cs="Times New Roman"/>
          <w:sz w:val="24"/>
          <w:szCs w:val="24"/>
        </w:rPr>
        <w:t>Beale,</w:t>
      </w:r>
      <w:r w:rsidRPr="00AF0109">
        <w:rPr>
          <w:rFonts w:ascii="Times New Roman" w:hAnsi="Times New Roman" w:cs="Times New Roman"/>
          <w:sz w:val="24"/>
          <w:szCs w:val="24"/>
        </w:rPr>
        <w:t xml:space="preserve"> the theological unity of the Bible is to be found in its storyline. Broadly speaking, his approach is to identify the fundamental storylines of the OT and the NT and then to show how that of the NT is founded upon, flows out of, and transforms that of the OT.</w:t>
      </w:r>
    </w:p>
    <w:p w:rsidR="00E46F5D" w:rsidRDefault="00E46F5D" w:rsidP="00E46F5D">
      <w:pPr>
        <w:jc w:val="both"/>
        <w:rPr>
          <w:rFonts w:ascii="Times New Roman" w:hAnsi="Times New Roman" w:cs="Times New Roman"/>
          <w:b/>
          <w:sz w:val="24"/>
          <w:szCs w:val="24"/>
        </w:rPr>
      </w:pPr>
      <w:r w:rsidRPr="00AF0109">
        <w:rPr>
          <w:rFonts w:ascii="Times New Roman" w:hAnsi="Times New Roman" w:cs="Times New Roman"/>
          <w:b/>
          <w:sz w:val="24"/>
          <w:szCs w:val="24"/>
        </w:rPr>
        <w:t>Conclusion</w:t>
      </w:r>
      <w:r>
        <w:rPr>
          <w:rFonts w:ascii="Times New Roman" w:hAnsi="Times New Roman" w:cs="Times New Roman"/>
          <w:b/>
          <w:sz w:val="24"/>
          <w:szCs w:val="24"/>
        </w:rPr>
        <w:t xml:space="preserve"> </w:t>
      </w:r>
    </w:p>
    <w:p w:rsidR="00E46F5D" w:rsidRPr="00AF0109" w:rsidRDefault="00E46F5D" w:rsidP="00E46F5D">
      <w:pPr>
        <w:jc w:val="both"/>
        <w:rPr>
          <w:rFonts w:ascii="Times New Roman" w:hAnsi="Times New Roman" w:cs="Times New Roman"/>
          <w:sz w:val="24"/>
          <w:szCs w:val="24"/>
        </w:rPr>
      </w:pPr>
      <w:r>
        <w:rPr>
          <w:rFonts w:ascii="Times New Roman" w:hAnsi="Times New Roman" w:cs="Times New Roman"/>
          <w:b/>
          <w:sz w:val="24"/>
          <w:szCs w:val="24"/>
        </w:rPr>
        <w:tab/>
      </w:r>
      <w:r w:rsidRPr="00AF0109">
        <w:rPr>
          <w:rFonts w:ascii="Times New Roman" w:hAnsi="Times New Roman" w:cs="Times New Roman"/>
          <w:sz w:val="24"/>
          <w:szCs w:val="24"/>
        </w:rPr>
        <w:t>Finally, is a disservice to the church, as it does not help readers to deal with apparent contradictions and discrepancies. Conversely, those that fail to take into account canonical relationships between NT documents, not to mention such relationships with the OT, will fail to understand accurately the overall theology of the NT. One must walk the line, upholding both unity and diversity without overemphasizing one or the other.</w:t>
      </w:r>
    </w:p>
    <w:p w:rsidR="00615945" w:rsidRDefault="00556EEF" w:rsidP="007538F1">
      <w:pPr>
        <w:rPr>
          <w:rFonts w:ascii="Times New Roman" w:hAnsi="Times New Roman" w:cs="Times New Roman"/>
          <w:b/>
          <w:sz w:val="24"/>
          <w:szCs w:val="24"/>
        </w:rPr>
      </w:pPr>
      <w:r w:rsidRPr="007538F1">
        <w:rPr>
          <w:rFonts w:ascii="Times New Roman" w:hAnsi="Times New Roman" w:cs="Times New Roman"/>
          <w:b/>
          <w:sz w:val="24"/>
          <w:szCs w:val="24"/>
        </w:rPr>
        <w:t>Q. 2</w:t>
      </w:r>
      <w:r w:rsidR="007538F1" w:rsidRPr="007538F1">
        <w:rPr>
          <w:rFonts w:ascii="Times New Roman" w:hAnsi="Times New Roman" w:cs="Times New Roman"/>
          <w:b/>
          <w:sz w:val="24"/>
          <w:szCs w:val="24"/>
        </w:rPr>
        <w:t xml:space="preserve"> Pneumatology in Luke</w:t>
      </w:r>
    </w:p>
    <w:p w:rsidR="00FA0DCA" w:rsidRDefault="00FA0DCA" w:rsidP="007538F1">
      <w:pPr>
        <w:rPr>
          <w:rFonts w:ascii="Times New Roman" w:hAnsi="Times New Roman" w:cs="Times New Roman"/>
          <w:b/>
          <w:sz w:val="24"/>
          <w:szCs w:val="24"/>
        </w:rPr>
      </w:pPr>
      <w:r>
        <w:rPr>
          <w:rFonts w:ascii="Times New Roman" w:hAnsi="Times New Roman" w:cs="Times New Roman"/>
          <w:b/>
          <w:sz w:val="24"/>
          <w:szCs w:val="24"/>
        </w:rPr>
        <w:t>Preamble</w:t>
      </w:r>
    </w:p>
    <w:p w:rsidR="00FA0DCA" w:rsidRDefault="00FA0DCA" w:rsidP="006C44A9">
      <w:pPr>
        <w:ind w:firstLine="720"/>
        <w:jc w:val="both"/>
        <w:rPr>
          <w:rFonts w:ascii="Times New Roman" w:hAnsi="Times New Roman" w:cs="Times New Roman"/>
          <w:sz w:val="24"/>
          <w:szCs w:val="24"/>
        </w:rPr>
      </w:pPr>
      <w:r w:rsidRPr="00FA0DCA">
        <w:rPr>
          <w:rFonts w:ascii="Times New Roman" w:hAnsi="Times New Roman" w:cs="Times New Roman"/>
          <w:sz w:val="24"/>
          <w:szCs w:val="24"/>
        </w:rPr>
        <w:t xml:space="preserve">According to Luke, salvation history has a calendar, what some call the periodization of salvation history. According to </w:t>
      </w:r>
      <w:proofErr w:type="spellStart"/>
      <w:r w:rsidRPr="00FA0DCA">
        <w:rPr>
          <w:rFonts w:ascii="Times New Roman" w:hAnsi="Times New Roman" w:cs="Times New Roman"/>
          <w:sz w:val="24"/>
          <w:szCs w:val="24"/>
        </w:rPr>
        <w:t>Gonzelmann</w:t>
      </w:r>
      <w:proofErr w:type="spellEnd"/>
      <w:r w:rsidRPr="00FA0DCA">
        <w:rPr>
          <w:rFonts w:ascii="Times New Roman" w:hAnsi="Times New Roman" w:cs="Times New Roman"/>
          <w:sz w:val="24"/>
          <w:szCs w:val="24"/>
        </w:rPr>
        <w:t xml:space="preserve">, this </w:t>
      </w:r>
      <w:proofErr w:type="spellStart"/>
      <w:r w:rsidRPr="00FA0DCA">
        <w:rPr>
          <w:rFonts w:ascii="Times New Roman" w:hAnsi="Times New Roman" w:cs="Times New Roman"/>
          <w:sz w:val="24"/>
          <w:szCs w:val="24"/>
        </w:rPr>
        <w:t>Lucanian</w:t>
      </w:r>
      <w:proofErr w:type="spellEnd"/>
      <w:r w:rsidRPr="00FA0DCA">
        <w:rPr>
          <w:rFonts w:ascii="Times New Roman" w:hAnsi="Times New Roman" w:cs="Times New Roman"/>
          <w:sz w:val="24"/>
          <w:szCs w:val="24"/>
        </w:rPr>
        <w:t xml:space="preserve"> calendar has three periods: the time of Israel (which ends with John the Baptist); the time of Jesus, which is the "middle of time"; the time of the Church inaugurated by Pentecost. However, it is difficult to separate theologically the time of Jesus and the time of the Church in the thought of Lk. In fact, the apostles, legitimate witnesses of Christ's revelation (Acts 1:21) are the continuators of Jesus' work through preaching and </w:t>
      </w:r>
      <w:r w:rsidRPr="00FA0DCA">
        <w:rPr>
          <w:rFonts w:ascii="Times New Roman" w:hAnsi="Times New Roman" w:cs="Times New Roman"/>
          <w:sz w:val="24"/>
          <w:szCs w:val="24"/>
        </w:rPr>
        <w:lastRenderedPageBreak/>
        <w:t>miraculous activity.</w:t>
      </w:r>
      <w:r>
        <w:rPr>
          <w:rFonts w:ascii="Times New Roman" w:hAnsi="Times New Roman" w:cs="Times New Roman"/>
          <w:sz w:val="24"/>
          <w:szCs w:val="24"/>
        </w:rPr>
        <w:t xml:space="preserve"> I shall now discuss what’s pneumatology, the church, and the pneumatology in Luke accounts then, with a conclusion.</w:t>
      </w:r>
      <w:r w:rsidR="00DF29A7">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p>
    <w:p w:rsidR="00FA0DCA" w:rsidRDefault="00FA0DCA" w:rsidP="00FA0DCA">
      <w:pPr>
        <w:rPr>
          <w:rFonts w:ascii="Times New Roman" w:hAnsi="Times New Roman" w:cs="Times New Roman"/>
          <w:b/>
          <w:sz w:val="24"/>
          <w:szCs w:val="24"/>
        </w:rPr>
      </w:pPr>
      <w:r w:rsidRPr="00FA0DCA">
        <w:rPr>
          <w:rFonts w:ascii="Times New Roman" w:hAnsi="Times New Roman" w:cs="Times New Roman"/>
          <w:b/>
          <w:sz w:val="24"/>
          <w:szCs w:val="24"/>
        </w:rPr>
        <w:t>Pneumatology</w:t>
      </w:r>
    </w:p>
    <w:p w:rsidR="00FA0DCA" w:rsidRDefault="00FA0DCA" w:rsidP="00FA0DC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God, there are two procession one of these, the procession of love, has no proper name of its own, as stated above (q. 27, a. 4, ad 3). Hence the relations also which follow from this procession are without a name (q. 28, a. 4): for which reason the person proceeding in that manner has not a proper name. but as some names are accommodated by the usual mode of speaking to signify the aforesaid relations, as when we use the names of procession and </w:t>
      </w:r>
      <w:proofErr w:type="spellStart"/>
      <w:r>
        <w:rPr>
          <w:rFonts w:ascii="Times New Roman" w:hAnsi="Times New Roman" w:cs="Times New Roman"/>
          <w:sz w:val="24"/>
          <w:szCs w:val="24"/>
        </w:rPr>
        <w:t>spiration</w:t>
      </w:r>
      <w:proofErr w:type="spellEnd"/>
      <w:r>
        <w:rPr>
          <w:rFonts w:ascii="Times New Roman" w:hAnsi="Times New Roman" w:cs="Times New Roman"/>
          <w:sz w:val="24"/>
          <w:szCs w:val="24"/>
        </w:rPr>
        <w:t>, which in the strict sense more fittingly signify the notional acts than the relations; so to signify the divine person, who proceeds by way of love, this name Holy Ghost is by the use of scriptural speech accommodated to Him.</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p>
    <w:p w:rsidR="00383749" w:rsidRDefault="00FA0DCA" w:rsidP="006C44A9">
      <w:pPr>
        <w:jc w:val="both"/>
        <w:rPr>
          <w:rFonts w:ascii="Times New Roman" w:hAnsi="Times New Roman" w:cs="Times New Roman"/>
          <w:sz w:val="24"/>
          <w:szCs w:val="24"/>
        </w:rPr>
      </w:pPr>
      <w:r>
        <w:rPr>
          <w:rFonts w:ascii="Times New Roman" w:hAnsi="Times New Roman" w:cs="Times New Roman"/>
          <w:sz w:val="24"/>
          <w:szCs w:val="24"/>
        </w:rPr>
        <w:tab/>
        <w:t>Moreover, “no one understands the thoughts of God except the spirit of God”. Now God’s spirit, who reveals God, makes known to us Christ, his word, his living utterance, but the spirit does not speak of himself. The spirit who “has spoken through the prophets” makes us hear the father’s word, but we do not hear the spirit himself.</w:t>
      </w:r>
      <w:r>
        <w:rPr>
          <w:rStyle w:val="FootnoteReference"/>
          <w:rFonts w:ascii="Times New Roman" w:hAnsi="Times New Roman" w:cs="Times New Roman"/>
          <w:sz w:val="24"/>
          <w:szCs w:val="24"/>
        </w:rPr>
        <w:footnoteReference w:id="3"/>
      </w:r>
    </w:p>
    <w:p w:rsidR="00383749" w:rsidRDefault="00383749" w:rsidP="006C44A9">
      <w:pPr>
        <w:jc w:val="both"/>
        <w:rPr>
          <w:rFonts w:ascii="Times New Roman" w:hAnsi="Times New Roman" w:cs="Times New Roman"/>
          <w:b/>
          <w:sz w:val="24"/>
          <w:szCs w:val="24"/>
        </w:rPr>
      </w:pPr>
      <w:r w:rsidRPr="00383749">
        <w:rPr>
          <w:rFonts w:ascii="Times New Roman" w:hAnsi="Times New Roman" w:cs="Times New Roman"/>
          <w:b/>
          <w:sz w:val="24"/>
          <w:szCs w:val="24"/>
        </w:rPr>
        <w:t xml:space="preserve"> Church</w:t>
      </w:r>
      <w:r>
        <w:rPr>
          <w:rFonts w:ascii="Times New Roman" w:hAnsi="Times New Roman" w:cs="Times New Roman"/>
          <w:b/>
          <w:sz w:val="24"/>
          <w:szCs w:val="24"/>
        </w:rPr>
        <w:t xml:space="preserve"> in Luke</w:t>
      </w:r>
    </w:p>
    <w:p w:rsidR="006C44A9" w:rsidRPr="006C44A9" w:rsidRDefault="006C44A9" w:rsidP="006C44A9">
      <w:pPr>
        <w:ind w:firstLine="720"/>
        <w:jc w:val="both"/>
        <w:rPr>
          <w:rFonts w:ascii="Times New Roman" w:hAnsi="Times New Roman" w:cs="Times New Roman"/>
          <w:sz w:val="24"/>
          <w:szCs w:val="24"/>
        </w:rPr>
      </w:pPr>
      <w:r w:rsidRPr="006C44A9">
        <w:rPr>
          <w:rFonts w:ascii="Times New Roman" w:hAnsi="Times New Roman" w:cs="Times New Roman"/>
          <w:sz w:val="24"/>
          <w:szCs w:val="24"/>
        </w:rPr>
        <w:t xml:space="preserve">More than Mark and more than Matthew, Luke wants to show that Jesus attracts large crowds and that a significant number of men and women are attached to him (6:7-19; 8:1-3). The word and especially the compassion of Jesus constantly mobilizes a community around him. </w:t>
      </w:r>
      <w:r>
        <w:rPr>
          <w:rFonts w:ascii="Times New Roman" w:hAnsi="Times New Roman" w:cs="Times New Roman"/>
          <w:sz w:val="24"/>
          <w:szCs w:val="24"/>
        </w:rPr>
        <w:t xml:space="preserve"> </w:t>
      </w:r>
      <w:r w:rsidRPr="006C44A9">
        <w:rPr>
          <w:rFonts w:ascii="Times New Roman" w:hAnsi="Times New Roman" w:cs="Times New Roman"/>
          <w:sz w:val="24"/>
          <w:szCs w:val="24"/>
        </w:rPr>
        <w:t>Since the heart of Jesus' preaching to all, including his Pharisaic opponents, is the presence of the Reign of God among them, this same Reign will also be preached by the apostles (Acts 8:12) and by Paul (Acts 14:22; 20:2; 28:23,31). This preaching, animated by the Spirit, will ensure the presence of Jesus in the Church.</w:t>
      </w:r>
      <w:r>
        <w:rPr>
          <w:rStyle w:val="FootnoteReference"/>
          <w:rFonts w:ascii="Times New Roman" w:hAnsi="Times New Roman" w:cs="Times New Roman"/>
          <w:sz w:val="24"/>
          <w:szCs w:val="24"/>
        </w:rPr>
        <w:footnoteReference w:id="4"/>
      </w:r>
    </w:p>
    <w:p w:rsidR="006C44A9" w:rsidRDefault="006C44A9" w:rsidP="006C44A9">
      <w:pPr>
        <w:spacing w:line="360" w:lineRule="auto"/>
        <w:ind w:firstLine="720"/>
        <w:jc w:val="both"/>
        <w:rPr>
          <w:rFonts w:ascii="Times New Roman" w:hAnsi="Times New Roman" w:cs="Times New Roman"/>
          <w:sz w:val="24"/>
          <w:szCs w:val="24"/>
        </w:rPr>
      </w:pPr>
      <w:r w:rsidRPr="006C44A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1A2A1B">
        <w:rPr>
          <w:rFonts w:ascii="Times New Roman" w:hAnsi="Times New Roman" w:cs="Times New Roman"/>
          <w:sz w:val="24"/>
          <w:szCs w:val="24"/>
        </w:rPr>
        <w:t xml:space="preserve">The church is sorely defined as a community of reconciled sinners and not as an institution or sacrament of salvation. </w:t>
      </w:r>
      <w:proofErr w:type="spellStart"/>
      <w:r w:rsidRPr="001A2A1B">
        <w:rPr>
          <w:rFonts w:ascii="Times New Roman" w:hAnsi="Times New Roman" w:cs="Times New Roman"/>
          <w:sz w:val="24"/>
          <w:szCs w:val="24"/>
        </w:rPr>
        <w:t>congar</w:t>
      </w:r>
      <w:proofErr w:type="spellEnd"/>
      <w:r w:rsidRPr="001A2A1B">
        <w:rPr>
          <w:rFonts w:ascii="Times New Roman" w:hAnsi="Times New Roman" w:cs="Times New Roman"/>
          <w:sz w:val="24"/>
          <w:szCs w:val="24"/>
        </w:rPr>
        <w:t xml:space="preserve"> says that this is </w:t>
      </w:r>
      <w:r>
        <w:rPr>
          <w:rFonts w:ascii="Times New Roman" w:hAnsi="Times New Roman" w:cs="Times New Roman"/>
          <w:sz w:val="24"/>
          <w:szCs w:val="24"/>
        </w:rPr>
        <w:t>b</w:t>
      </w:r>
      <w:r w:rsidRPr="001A2A1B">
        <w:rPr>
          <w:rFonts w:ascii="Times New Roman" w:hAnsi="Times New Roman" w:cs="Times New Roman"/>
          <w:sz w:val="24"/>
          <w:szCs w:val="24"/>
        </w:rPr>
        <w:t>ecause Luther only sa</w:t>
      </w:r>
      <w:r>
        <w:rPr>
          <w:rFonts w:ascii="Times New Roman" w:hAnsi="Times New Roman" w:cs="Times New Roman"/>
          <w:sz w:val="24"/>
          <w:szCs w:val="24"/>
        </w:rPr>
        <w:t>w</w:t>
      </w:r>
      <w:r w:rsidRPr="001A2A1B">
        <w:rPr>
          <w:rFonts w:ascii="Times New Roman" w:hAnsi="Times New Roman" w:cs="Times New Roman"/>
          <w:sz w:val="24"/>
          <w:szCs w:val="24"/>
        </w:rPr>
        <w:t xml:space="preserve"> the church in its fina</w:t>
      </w:r>
      <w:r>
        <w:rPr>
          <w:rFonts w:ascii="Times New Roman" w:hAnsi="Times New Roman" w:cs="Times New Roman"/>
          <w:sz w:val="24"/>
          <w:szCs w:val="24"/>
        </w:rPr>
        <w:t>l</w:t>
      </w:r>
      <w:r w:rsidRPr="001A2A1B">
        <w:rPr>
          <w:rFonts w:ascii="Times New Roman" w:hAnsi="Times New Roman" w:cs="Times New Roman"/>
          <w:sz w:val="24"/>
          <w:szCs w:val="24"/>
        </w:rPr>
        <w:t xml:space="preserve"> term as the reality of a reconciled life </w:t>
      </w:r>
      <w:r>
        <w:rPr>
          <w:rFonts w:ascii="Times New Roman" w:hAnsi="Times New Roman" w:cs="Times New Roman"/>
          <w:sz w:val="24"/>
          <w:szCs w:val="24"/>
        </w:rPr>
        <w:t>b</w:t>
      </w:r>
      <w:r w:rsidRPr="001A2A1B">
        <w:rPr>
          <w:rFonts w:ascii="Times New Roman" w:hAnsi="Times New Roman" w:cs="Times New Roman"/>
          <w:sz w:val="24"/>
          <w:szCs w:val="24"/>
        </w:rPr>
        <w:t xml:space="preserve">ut not as a means to this end. This illustrates the parallel </w:t>
      </w:r>
      <w:r>
        <w:rPr>
          <w:rFonts w:ascii="Times New Roman" w:hAnsi="Times New Roman" w:cs="Times New Roman"/>
          <w:sz w:val="24"/>
          <w:szCs w:val="24"/>
        </w:rPr>
        <w:lastRenderedPageBreak/>
        <w:t>b</w:t>
      </w:r>
      <w:r w:rsidRPr="001A2A1B">
        <w:rPr>
          <w:rFonts w:ascii="Times New Roman" w:hAnsi="Times New Roman" w:cs="Times New Roman"/>
          <w:sz w:val="24"/>
          <w:szCs w:val="24"/>
        </w:rPr>
        <w:t>etween Luther's doctrines of the church and of justif</w:t>
      </w:r>
      <w:r>
        <w:rPr>
          <w:rFonts w:ascii="Times New Roman" w:hAnsi="Times New Roman" w:cs="Times New Roman"/>
          <w:sz w:val="24"/>
          <w:szCs w:val="24"/>
        </w:rPr>
        <w:t>i</w:t>
      </w:r>
      <w:r w:rsidRPr="001A2A1B">
        <w:rPr>
          <w:rFonts w:ascii="Times New Roman" w:hAnsi="Times New Roman" w:cs="Times New Roman"/>
          <w:sz w:val="24"/>
          <w:szCs w:val="24"/>
        </w:rPr>
        <w:t xml:space="preserve">cation. </w:t>
      </w:r>
      <w:r>
        <w:rPr>
          <w:rFonts w:ascii="Times New Roman" w:hAnsi="Times New Roman" w:cs="Times New Roman"/>
          <w:sz w:val="24"/>
          <w:szCs w:val="24"/>
        </w:rPr>
        <w:t>i</w:t>
      </w:r>
      <w:r w:rsidRPr="001A2A1B">
        <w:rPr>
          <w:rFonts w:ascii="Times New Roman" w:hAnsi="Times New Roman" w:cs="Times New Roman"/>
          <w:sz w:val="24"/>
          <w:szCs w:val="24"/>
        </w:rPr>
        <w:t xml:space="preserve">n </w:t>
      </w:r>
      <w:r>
        <w:rPr>
          <w:rFonts w:ascii="Times New Roman" w:hAnsi="Times New Roman" w:cs="Times New Roman"/>
          <w:sz w:val="24"/>
          <w:szCs w:val="24"/>
        </w:rPr>
        <w:t>bo</w:t>
      </w:r>
      <w:r w:rsidRPr="001A2A1B">
        <w:rPr>
          <w:rFonts w:ascii="Times New Roman" w:hAnsi="Times New Roman" w:cs="Times New Roman"/>
          <w:sz w:val="24"/>
          <w:szCs w:val="24"/>
        </w:rPr>
        <w:t>th</w:t>
      </w:r>
      <w:r>
        <w:rPr>
          <w:rFonts w:ascii="Times New Roman" w:hAnsi="Times New Roman" w:cs="Times New Roman"/>
          <w:sz w:val="24"/>
          <w:szCs w:val="24"/>
        </w:rPr>
        <w:t xml:space="preserve"> </w:t>
      </w:r>
      <w:r w:rsidRPr="001A2A1B">
        <w:rPr>
          <w:rFonts w:ascii="Times New Roman" w:hAnsi="Times New Roman" w:cs="Times New Roman"/>
          <w:sz w:val="24"/>
          <w:szCs w:val="24"/>
        </w:rPr>
        <w:t>cases everything comes from Christ. A pure spirituality and a pure act of God are super</w:t>
      </w:r>
      <w:r>
        <w:rPr>
          <w:rFonts w:ascii="Times New Roman" w:hAnsi="Times New Roman" w:cs="Times New Roman"/>
          <w:sz w:val="24"/>
          <w:szCs w:val="24"/>
        </w:rPr>
        <w:t xml:space="preserve"> </w:t>
      </w:r>
      <w:r w:rsidRPr="001A2A1B">
        <w:rPr>
          <w:rFonts w:ascii="Times New Roman" w:hAnsi="Times New Roman" w:cs="Times New Roman"/>
          <w:sz w:val="24"/>
          <w:szCs w:val="24"/>
        </w:rPr>
        <w:t xml:space="preserve">imposed on a sinful humanity. </w:t>
      </w:r>
    </w:p>
    <w:p w:rsidR="00FA0DCA" w:rsidRDefault="006C44A9" w:rsidP="006C44A9">
      <w:pPr>
        <w:ind w:firstLine="720"/>
        <w:jc w:val="both"/>
        <w:rPr>
          <w:rFonts w:ascii="Times New Roman" w:hAnsi="Times New Roman" w:cs="Times New Roman"/>
          <w:sz w:val="24"/>
          <w:szCs w:val="24"/>
        </w:rPr>
      </w:pPr>
      <w:r>
        <w:rPr>
          <w:rFonts w:ascii="Times New Roman" w:hAnsi="Times New Roman" w:cs="Times New Roman"/>
          <w:sz w:val="24"/>
          <w:szCs w:val="24"/>
        </w:rPr>
        <w:t xml:space="preserve">Going further, </w:t>
      </w:r>
      <w:r w:rsidRPr="001A2A1B">
        <w:rPr>
          <w:rFonts w:ascii="Times New Roman" w:hAnsi="Times New Roman" w:cs="Times New Roman"/>
          <w:sz w:val="24"/>
          <w:szCs w:val="24"/>
        </w:rPr>
        <w:t xml:space="preserve">Luther reduces the entire role of the church and of its ministry to that of the word. </w:t>
      </w:r>
      <w:r>
        <w:rPr>
          <w:rFonts w:ascii="Times New Roman" w:hAnsi="Times New Roman" w:cs="Times New Roman"/>
          <w:sz w:val="24"/>
          <w:szCs w:val="24"/>
        </w:rPr>
        <w:t>i</w:t>
      </w:r>
      <w:r w:rsidRPr="001A2A1B">
        <w:rPr>
          <w:rFonts w:ascii="Times New Roman" w:hAnsi="Times New Roman" w:cs="Times New Roman"/>
          <w:sz w:val="24"/>
          <w:szCs w:val="24"/>
        </w:rPr>
        <w:t>t is presented as a</w:t>
      </w:r>
      <w:r>
        <w:rPr>
          <w:rFonts w:ascii="Times New Roman" w:hAnsi="Times New Roman" w:cs="Times New Roman"/>
          <w:sz w:val="24"/>
          <w:szCs w:val="24"/>
        </w:rPr>
        <w:t xml:space="preserve"> </w:t>
      </w:r>
      <w:r w:rsidRPr="001A2A1B">
        <w:rPr>
          <w:rFonts w:ascii="Times New Roman" w:hAnsi="Times New Roman" w:cs="Times New Roman"/>
          <w:sz w:val="24"/>
          <w:szCs w:val="24"/>
        </w:rPr>
        <w:t>reality which stands a</w:t>
      </w:r>
      <w:r>
        <w:rPr>
          <w:rFonts w:ascii="Times New Roman" w:hAnsi="Times New Roman" w:cs="Times New Roman"/>
          <w:sz w:val="24"/>
          <w:szCs w:val="24"/>
        </w:rPr>
        <w:t>l</w:t>
      </w:r>
      <w:r w:rsidRPr="001A2A1B">
        <w:rPr>
          <w:rFonts w:ascii="Times New Roman" w:hAnsi="Times New Roman" w:cs="Times New Roman"/>
          <w:sz w:val="24"/>
          <w:szCs w:val="24"/>
        </w:rPr>
        <w:t>one. A</w:t>
      </w:r>
      <w:r>
        <w:rPr>
          <w:rFonts w:ascii="Times New Roman" w:hAnsi="Times New Roman" w:cs="Times New Roman"/>
          <w:sz w:val="24"/>
          <w:szCs w:val="24"/>
        </w:rPr>
        <w:t>l</w:t>
      </w:r>
      <w:r w:rsidRPr="001A2A1B">
        <w:rPr>
          <w:rFonts w:ascii="Times New Roman" w:hAnsi="Times New Roman" w:cs="Times New Roman"/>
          <w:sz w:val="24"/>
          <w:szCs w:val="24"/>
        </w:rPr>
        <w:t>l is dependent upon the word of God and on justification by faith a</w:t>
      </w:r>
      <w:r>
        <w:rPr>
          <w:rFonts w:ascii="Times New Roman" w:hAnsi="Times New Roman" w:cs="Times New Roman"/>
          <w:sz w:val="24"/>
          <w:szCs w:val="24"/>
        </w:rPr>
        <w:t>l</w:t>
      </w:r>
      <w:r w:rsidRPr="001A2A1B">
        <w:rPr>
          <w:rFonts w:ascii="Times New Roman" w:hAnsi="Times New Roman" w:cs="Times New Roman"/>
          <w:sz w:val="24"/>
          <w:szCs w:val="24"/>
        </w:rPr>
        <w:t xml:space="preserve">one. The church exists only where there is the Truth of the word. The sacraments have no certitude </w:t>
      </w:r>
      <w:r>
        <w:rPr>
          <w:rFonts w:ascii="Times New Roman" w:hAnsi="Times New Roman" w:cs="Times New Roman"/>
          <w:sz w:val="24"/>
          <w:szCs w:val="24"/>
        </w:rPr>
        <w:t>b</w:t>
      </w:r>
      <w:r w:rsidRPr="001A2A1B">
        <w:rPr>
          <w:rFonts w:ascii="Times New Roman" w:hAnsi="Times New Roman" w:cs="Times New Roman"/>
          <w:sz w:val="24"/>
          <w:szCs w:val="24"/>
        </w:rPr>
        <w:t>y themselves.</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w:t>
      </w:r>
    </w:p>
    <w:p w:rsidR="008C4E38" w:rsidRPr="008C4E38" w:rsidRDefault="008C4E38" w:rsidP="008C4E38">
      <w:pPr>
        <w:jc w:val="both"/>
        <w:rPr>
          <w:rFonts w:ascii="Times New Roman" w:hAnsi="Times New Roman" w:cs="Times New Roman"/>
          <w:b/>
          <w:sz w:val="24"/>
          <w:szCs w:val="24"/>
        </w:rPr>
      </w:pPr>
      <w:r w:rsidRPr="008C4E38">
        <w:rPr>
          <w:rFonts w:ascii="Times New Roman" w:hAnsi="Times New Roman" w:cs="Times New Roman"/>
          <w:b/>
          <w:sz w:val="24"/>
          <w:szCs w:val="24"/>
        </w:rPr>
        <w:t>Luke Pneumatology</w:t>
      </w:r>
    </w:p>
    <w:p w:rsidR="008C4E38" w:rsidRDefault="008C4E38" w:rsidP="008C4E38">
      <w:pPr>
        <w:ind w:firstLine="720"/>
        <w:jc w:val="both"/>
        <w:rPr>
          <w:rFonts w:ascii="Times New Roman" w:hAnsi="Times New Roman" w:cs="Times New Roman"/>
          <w:sz w:val="24"/>
          <w:szCs w:val="24"/>
        </w:rPr>
      </w:pPr>
      <w:r w:rsidRPr="008C4E38">
        <w:rPr>
          <w:rFonts w:ascii="Times New Roman" w:hAnsi="Times New Roman" w:cs="Times New Roman"/>
          <w:sz w:val="24"/>
          <w:szCs w:val="24"/>
        </w:rPr>
        <w:t>In fact, historical</w:t>
      </w:r>
      <w:r w:rsidRPr="008C4E38">
        <w:rPr>
          <w:rFonts w:ascii="Times New Roman" w:hAnsi="Times New Roman" w:cs="Times New Roman"/>
          <w:sz w:val="24"/>
          <w:szCs w:val="24"/>
        </w:rPr>
        <w:t xml:space="preserve"> line of salvation is dominated by the interventions of the Spirit. The Spirit is granted to some figures of the Gospel of childhood (1,1317.35.41.67; 2,25-28), but as soon as Jesus is baptized (3,22), he becomes the only bearer of the Spirit. From then on, all the heavenly inspiration available is concentrated in him: motion of the Spirit, vision, ecstasy, angelic intervention. It is this power that he promises to give to his disciples after his death (Lk 24:49; Acts 1:8), which will be realized at Pentecost. From then on, the apostles, then the evangelists (Acts 8), then the believers of Samaria (Acts 8:15-17), then those who came from paganism (Acts 10:44-48) will receive the Holy Spirit as their share. But let us note that the reception of the Spirit is constantly linked to Jesus, to the reception of the Gospel, to the baptism in Jesus Christ. </w:t>
      </w:r>
      <w:r>
        <w:rPr>
          <w:rFonts w:ascii="Times New Roman" w:hAnsi="Times New Roman" w:cs="Times New Roman"/>
          <w:sz w:val="24"/>
          <w:szCs w:val="24"/>
        </w:rPr>
        <w:t xml:space="preserve"> </w:t>
      </w:r>
    </w:p>
    <w:p w:rsidR="008C4E38" w:rsidRPr="008C4E38" w:rsidRDefault="008C4E38" w:rsidP="008C4E38">
      <w:pPr>
        <w:jc w:val="both"/>
        <w:rPr>
          <w:rFonts w:ascii="Times New Roman" w:hAnsi="Times New Roman" w:cs="Times New Roman"/>
          <w:b/>
          <w:sz w:val="24"/>
          <w:szCs w:val="24"/>
        </w:rPr>
      </w:pPr>
      <w:r w:rsidRPr="008C4E38">
        <w:rPr>
          <w:rFonts w:ascii="Times New Roman" w:hAnsi="Times New Roman" w:cs="Times New Roman"/>
          <w:b/>
          <w:sz w:val="24"/>
          <w:szCs w:val="24"/>
        </w:rPr>
        <w:t>Conclusion.</w:t>
      </w:r>
    </w:p>
    <w:p w:rsidR="008C4E38" w:rsidRPr="008C4E38" w:rsidRDefault="008C4E38" w:rsidP="008C4E38">
      <w:pPr>
        <w:ind w:firstLine="720"/>
        <w:jc w:val="both"/>
        <w:rPr>
          <w:rFonts w:ascii="Times New Roman" w:hAnsi="Times New Roman" w:cs="Times New Roman"/>
          <w:sz w:val="24"/>
          <w:szCs w:val="24"/>
        </w:rPr>
      </w:pPr>
      <w:r>
        <w:rPr>
          <w:rFonts w:ascii="Times New Roman" w:hAnsi="Times New Roman" w:cs="Times New Roman"/>
          <w:sz w:val="24"/>
          <w:szCs w:val="24"/>
        </w:rPr>
        <w:t>Although, s</w:t>
      </w:r>
      <w:r w:rsidRPr="008C4E38">
        <w:rPr>
          <w:rFonts w:ascii="Times New Roman" w:hAnsi="Times New Roman" w:cs="Times New Roman"/>
          <w:sz w:val="24"/>
          <w:szCs w:val="24"/>
        </w:rPr>
        <w:t>ince the heart of Jesus' preaching to all, including his Pharisaic opponents, is the presence of the Reign of God among them, this same Reign will also be preached by the apostles (Acts 8:12) and by Paul (Acts 14:22; 20:2; 28:23,31). This preaching, animated by the Spirit, will ensure the presence of Jesus in the Church.</w:t>
      </w:r>
      <w:r>
        <w:rPr>
          <w:rFonts w:ascii="Times New Roman" w:hAnsi="Times New Roman" w:cs="Times New Roman"/>
          <w:sz w:val="24"/>
          <w:szCs w:val="24"/>
        </w:rPr>
        <w:t xml:space="preserve"> </w:t>
      </w:r>
      <w:bookmarkStart w:id="0" w:name="_GoBack"/>
      <w:bookmarkEnd w:id="0"/>
    </w:p>
    <w:p w:rsidR="007538F1" w:rsidRPr="007538F1" w:rsidRDefault="007538F1" w:rsidP="006C44A9">
      <w:pPr>
        <w:jc w:val="both"/>
        <w:rPr>
          <w:rFonts w:ascii="Times New Roman" w:hAnsi="Times New Roman" w:cs="Times New Roman"/>
          <w:b/>
          <w:sz w:val="24"/>
          <w:szCs w:val="24"/>
        </w:rPr>
      </w:pPr>
    </w:p>
    <w:sectPr w:rsidR="007538F1" w:rsidRPr="007538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1EB" w:rsidRDefault="008C01EB" w:rsidP="00FA0DCA">
      <w:pPr>
        <w:spacing w:after="0" w:line="240" w:lineRule="auto"/>
      </w:pPr>
      <w:r>
        <w:separator/>
      </w:r>
    </w:p>
  </w:endnote>
  <w:endnote w:type="continuationSeparator" w:id="0">
    <w:p w:rsidR="008C01EB" w:rsidRDefault="008C01EB" w:rsidP="00FA0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1EB" w:rsidRDefault="008C01EB" w:rsidP="00FA0DCA">
      <w:pPr>
        <w:spacing w:after="0" w:line="240" w:lineRule="auto"/>
      </w:pPr>
      <w:r>
        <w:separator/>
      </w:r>
    </w:p>
  </w:footnote>
  <w:footnote w:type="continuationSeparator" w:id="0">
    <w:p w:rsidR="008C01EB" w:rsidRDefault="008C01EB" w:rsidP="00FA0DCA">
      <w:pPr>
        <w:spacing w:after="0" w:line="240" w:lineRule="auto"/>
      </w:pPr>
      <w:r>
        <w:continuationSeparator/>
      </w:r>
    </w:p>
  </w:footnote>
  <w:footnote w:id="1">
    <w:p w:rsidR="00DF29A7" w:rsidRDefault="00DF29A7" w:rsidP="00DF29A7">
      <w:pPr>
        <w:pStyle w:val="FootnoteText"/>
        <w:ind w:firstLine="720"/>
      </w:pPr>
      <w:r>
        <w:rPr>
          <w:rStyle w:val="FootnoteReference"/>
        </w:rPr>
        <w:footnoteRef/>
      </w:r>
      <w:r>
        <w:t xml:space="preserve"> </w:t>
      </w:r>
      <w:r w:rsidRPr="0010725C">
        <w:rPr>
          <w:rFonts w:ascii="Times New Roman" w:hAnsi="Times New Roman" w:cs="Times New Roman"/>
          <w:sz w:val="22"/>
          <w:szCs w:val="22"/>
        </w:rPr>
        <w:t xml:space="preserve">Gabriel </w:t>
      </w:r>
      <w:proofErr w:type="spellStart"/>
      <w:r w:rsidRPr="0010725C">
        <w:rPr>
          <w:rFonts w:ascii="Times New Roman" w:hAnsi="Times New Roman" w:cs="Times New Roman"/>
          <w:sz w:val="22"/>
          <w:szCs w:val="22"/>
        </w:rPr>
        <w:t>munna</w:t>
      </w:r>
      <w:proofErr w:type="spellEnd"/>
      <w:r w:rsidRPr="0010725C">
        <w:rPr>
          <w:rFonts w:ascii="Times New Roman" w:hAnsi="Times New Roman" w:cs="Times New Roman"/>
          <w:sz w:val="22"/>
          <w:szCs w:val="22"/>
        </w:rPr>
        <w:t>, Notes summarize of THEOLOGY OF NT IN ITS UNITY AND DIVERSITY: BOOKS, CORPUS AND BEYOND</w:t>
      </w:r>
      <w:r>
        <w:rPr>
          <w:rFonts w:ascii="Times New Roman" w:hAnsi="Times New Roman" w:cs="Times New Roman"/>
          <w:sz w:val="22"/>
          <w:szCs w:val="22"/>
        </w:rPr>
        <w:t xml:space="preserve"> </w:t>
      </w:r>
    </w:p>
  </w:footnote>
  <w:footnote w:id="2">
    <w:p w:rsidR="00FA0DCA" w:rsidRPr="00DD0326" w:rsidRDefault="00FA0DCA" w:rsidP="00FA0DCA">
      <w:pPr>
        <w:pStyle w:val="FootnoteText"/>
        <w:ind w:firstLine="720"/>
        <w:rPr>
          <w:rFonts w:ascii="Times New Roman" w:hAnsi="Times New Roman" w:cs="Times New Roman"/>
          <w:sz w:val="22"/>
          <w:szCs w:val="22"/>
        </w:rPr>
      </w:pPr>
      <w:r w:rsidRPr="00DD0326">
        <w:rPr>
          <w:rStyle w:val="FootnoteReference"/>
          <w:rFonts w:ascii="Times New Roman" w:hAnsi="Times New Roman" w:cs="Times New Roman"/>
          <w:sz w:val="22"/>
          <w:szCs w:val="22"/>
        </w:rPr>
        <w:footnoteRef/>
      </w:r>
      <w:r w:rsidRPr="00DD0326">
        <w:rPr>
          <w:rFonts w:ascii="Times New Roman" w:hAnsi="Times New Roman" w:cs="Times New Roman"/>
          <w:sz w:val="22"/>
          <w:szCs w:val="22"/>
        </w:rPr>
        <w:t xml:space="preserve"> St. Thomas Aquinas, summa theological complete English ed. In five volumes trans. By fathers of the English Dominican province Vol. 1 Q. 36 a. 1</w:t>
      </w:r>
    </w:p>
  </w:footnote>
  <w:footnote w:id="3">
    <w:p w:rsidR="00FA0DCA" w:rsidRPr="00DD0326" w:rsidRDefault="00FA0DCA" w:rsidP="00FA0DCA">
      <w:pPr>
        <w:pStyle w:val="FootnoteText"/>
        <w:ind w:firstLine="720"/>
        <w:rPr>
          <w:rFonts w:ascii="Times New Roman" w:hAnsi="Times New Roman" w:cs="Times New Roman"/>
          <w:sz w:val="22"/>
          <w:szCs w:val="22"/>
        </w:rPr>
      </w:pPr>
      <w:r w:rsidRPr="00DD0326">
        <w:rPr>
          <w:rStyle w:val="FootnoteReference"/>
          <w:rFonts w:ascii="Times New Roman" w:hAnsi="Times New Roman" w:cs="Times New Roman"/>
          <w:sz w:val="22"/>
          <w:szCs w:val="22"/>
        </w:rPr>
        <w:footnoteRef/>
      </w:r>
      <w:r w:rsidRPr="00DD0326">
        <w:rPr>
          <w:rFonts w:ascii="Times New Roman" w:hAnsi="Times New Roman" w:cs="Times New Roman"/>
          <w:sz w:val="22"/>
          <w:szCs w:val="22"/>
        </w:rPr>
        <w:t xml:space="preserve"> The catechism of the Catholic Church Revised </w:t>
      </w:r>
      <w:proofErr w:type="gramStart"/>
      <w:r w:rsidRPr="00DD0326">
        <w:rPr>
          <w:rFonts w:ascii="Times New Roman" w:hAnsi="Times New Roman" w:cs="Times New Roman"/>
          <w:sz w:val="22"/>
          <w:szCs w:val="22"/>
        </w:rPr>
        <w:t>ed.</w:t>
      </w:r>
      <w:proofErr w:type="gramEnd"/>
      <w:r w:rsidRPr="00DD0326">
        <w:rPr>
          <w:rFonts w:ascii="Times New Roman" w:hAnsi="Times New Roman" w:cs="Times New Roman"/>
          <w:sz w:val="22"/>
          <w:szCs w:val="22"/>
        </w:rPr>
        <w:t xml:space="preserve"> Publ. 2002 no.687</w:t>
      </w:r>
      <w:r>
        <w:rPr>
          <w:rFonts w:ascii="Times New Roman" w:hAnsi="Times New Roman" w:cs="Times New Roman"/>
          <w:sz w:val="22"/>
          <w:szCs w:val="22"/>
        </w:rPr>
        <w:t xml:space="preserve"> </w:t>
      </w:r>
    </w:p>
  </w:footnote>
  <w:footnote w:id="4">
    <w:p w:rsidR="006C44A9" w:rsidRPr="0010725C" w:rsidRDefault="006C44A9" w:rsidP="0010725C">
      <w:pPr>
        <w:pStyle w:val="FootnoteText"/>
        <w:ind w:firstLine="720"/>
        <w:rPr>
          <w:rFonts w:ascii="Times New Roman" w:hAnsi="Times New Roman" w:cs="Times New Roman"/>
          <w:sz w:val="22"/>
          <w:szCs w:val="22"/>
        </w:rPr>
      </w:pPr>
      <w:r w:rsidRPr="0010725C">
        <w:rPr>
          <w:rStyle w:val="FootnoteReference"/>
          <w:rFonts w:ascii="Times New Roman" w:hAnsi="Times New Roman" w:cs="Times New Roman"/>
          <w:sz w:val="22"/>
          <w:szCs w:val="22"/>
        </w:rPr>
        <w:footnoteRef/>
      </w:r>
      <w:r w:rsidRPr="0010725C">
        <w:rPr>
          <w:rFonts w:ascii="Times New Roman" w:hAnsi="Times New Roman" w:cs="Times New Roman"/>
          <w:sz w:val="22"/>
          <w:szCs w:val="22"/>
        </w:rPr>
        <w:t xml:space="preserve"> Gabriel </w:t>
      </w:r>
      <w:proofErr w:type="spellStart"/>
      <w:r w:rsidR="0010725C" w:rsidRPr="0010725C">
        <w:rPr>
          <w:rFonts w:ascii="Times New Roman" w:hAnsi="Times New Roman" w:cs="Times New Roman"/>
          <w:sz w:val="22"/>
          <w:szCs w:val="22"/>
        </w:rPr>
        <w:t>munna</w:t>
      </w:r>
      <w:proofErr w:type="spellEnd"/>
      <w:r w:rsidR="0010725C" w:rsidRPr="0010725C">
        <w:rPr>
          <w:rFonts w:ascii="Times New Roman" w:hAnsi="Times New Roman" w:cs="Times New Roman"/>
          <w:sz w:val="22"/>
          <w:szCs w:val="22"/>
        </w:rPr>
        <w:t>, Notes</w:t>
      </w:r>
      <w:r w:rsidRPr="0010725C">
        <w:rPr>
          <w:rFonts w:ascii="Times New Roman" w:hAnsi="Times New Roman" w:cs="Times New Roman"/>
          <w:sz w:val="22"/>
          <w:szCs w:val="22"/>
        </w:rPr>
        <w:t xml:space="preserve"> summarize of </w:t>
      </w:r>
      <w:r w:rsidR="0010725C" w:rsidRPr="0010725C">
        <w:rPr>
          <w:rFonts w:ascii="Times New Roman" w:hAnsi="Times New Roman" w:cs="Times New Roman"/>
          <w:sz w:val="22"/>
          <w:szCs w:val="22"/>
        </w:rPr>
        <w:t>THEOLOGY OF NT IN ITS UNITY AND DIVERSITY: BOOKS, CORPUS AND BEYOND</w:t>
      </w:r>
      <w:r w:rsidR="0010725C">
        <w:rPr>
          <w:rFonts w:ascii="Times New Roman" w:hAnsi="Times New Roman" w:cs="Times New Roman"/>
          <w:sz w:val="22"/>
          <w:szCs w:val="22"/>
        </w:rPr>
        <w:t xml:space="preserve"> </w:t>
      </w:r>
    </w:p>
  </w:footnote>
  <w:footnote w:id="5">
    <w:p w:rsidR="006C44A9" w:rsidRPr="005445CA" w:rsidRDefault="006C44A9" w:rsidP="006C44A9">
      <w:pPr>
        <w:pStyle w:val="FootnoteText"/>
        <w:ind w:firstLine="720"/>
        <w:rPr>
          <w:rFonts w:ascii="Times New Roman" w:hAnsi="Times New Roman" w:cs="Times New Roman"/>
          <w:sz w:val="22"/>
          <w:szCs w:val="22"/>
        </w:rPr>
      </w:pPr>
      <w:r w:rsidRPr="005445CA">
        <w:rPr>
          <w:rStyle w:val="FootnoteReference"/>
          <w:rFonts w:ascii="Times New Roman" w:hAnsi="Times New Roman" w:cs="Times New Roman"/>
          <w:sz w:val="22"/>
          <w:szCs w:val="22"/>
        </w:rPr>
        <w:footnoteRef/>
      </w:r>
      <w:r w:rsidRPr="005445CA">
        <w:rPr>
          <w:rFonts w:ascii="Times New Roman" w:hAnsi="Times New Roman" w:cs="Times New Roman"/>
          <w:sz w:val="22"/>
          <w:szCs w:val="22"/>
        </w:rPr>
        <w:t xml:space="preserve"> Thomas Ivory, The Nature of the Church in the Thought of Yves </w:t>
      </w:r>
      <w:proofErr w:type="spellStart"/>
      <w:r w:rsidRPr="005445CA">
        <w:rPr>
          <w:rFonts w:ascii="Times New Roman" w:hAnsi="Times New Roman" w:cs="Times New Roman"/>
          <w:sz w:val="22"/>
          <w:szCs w:val="22"/>
        </w:rPr>
        <w:t>Congar</w:t>
      </w:r>
      <w:proofErr w:type="spellEnd"/>
      <w:r w:rsidRPr="005445CA">
        <w:rPr>
          <w:rFonts w:ascii="Times New Roman" w:hAnsi="Times New Roman" w:cs="Times New Roman"/>
          <w:sz w:val="22"/>
          <w:szCs w:val="22"/>
        </w:rPr>
        <w:t xml:space="preserve">, </w:t>
      </w:r>
      <w:proofErr w:type="spellStart"/>
      <w:r w:rsidRPr="005445CA">
        <w:rPr>
          <w:rFonts w:ascii="Times New Roman" w:hAnsi="Times New Roman" w:cs="Times New Roman"/>
          <w:sz w:val="22"/>
          <w:szCs w:val="22"/>
        </w:rPr>
        <w:t>O.p</w:t>
      </w:r>
      <w:proofErr w:type="spellEnd"/>
      <w:r w:rsidRPr="005445CA">
        <w:rPr>
          <w:rFonts w:ascii="Times New Roman" w:hAnsi="Times New Roman" w:cs="Times New Roman"/>
          <w:sz w:val="22"/>
          <w:szCs w:val="22"/>
        </w:rPr>
        <w:t>. January 1986</w:t>
      </w:r>
      <w:r>
        <w:rPr>
          <w:rFonts w:ascii="Times New Roman" w:hAnsi="Times New Roman" w:cs="Times New Roman"/>
          <w:sz w:val="22"/>
          <w:szCs w:val="22"/>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53"/>
    <w:rsid w:val="000E5635"/>
    <w:rsid w:val="0010725C"/>
    <w:rsid w:val="00256112"/>
    <w:rsid w:val="00383749"/>
    <w:rsid w:val="00543153"/>
    <w:rsid w:val="00556EEF"/>
    <w:rsid w:val="00615945"/>
    <w:rsid w:val="006C44A9"/>
    <w:rsid w:val="007538F1"/>
    <w:rsid w:val="00756B6E"/>
    <w:rsid w:val="008C01EB"/>
    <w:rsid w:val="008C4E38"/>
    <w:rsid w:val="00C7259A"/>
    <w:rsid w:val="00DF29A7"/>
    <w:rsid w:val="00E46F5D"/>
    <w:rsid w:val="00FA0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F0C09"/>
  <w15:chartTrackingRefBased/>
  <w15:docId w15:val="{4C3AE2C4-BBFA-4229-A16B-FCEC6FB78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A0D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0DCA"/>
    <w:rPr>
      <w:sz w:val="20"/>
      <w:szCs w:val="20"/>
    </w:rPr>
  </w:style>
  <w:style w:type="character" w:styleId="FootnoteReference">
    <w:name w:val="footnote reference"/>
    <w:basedOn w:val="DefaultParagraphFont"/>
    <w:uiPriority w:val="99"/>
    <w:semiHidden/>
    <w:unhideWhenUsed/>
    <w:rsid w:val="00FA0D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E118A-0778-4EEA-A262-1A6CDCA12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1457</Words>
  <Characters>8306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2021-01-20T10:31:00Z</dcterms:created>
  <dcterms:modified xsi:type="dcterms:W3CDTF">2021-02-01T20:57:00Z</dcterms:modified>
</cp:coreProperties>
</file>