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68C" w:rsidRPr="008D0CBA" w:rsidRDefault="002410B5" w:rsidP="0092078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Even with the</w:t>
      </w:r>
      <w:r w:rsidR="00EE168C" w:rsidRPr="008D0CBA">
        <w:rPr>
          <w:rFonts w:ascii="Times New Roman" w:hAnsi="Times New Roman" w:cs="Times New Roman"/>
          <w:sz w:val="24"/>
          <w:szCs w:val="24"/>
        </w:rPr>
        <w:t xml:space="preserve"> recent </w:t>
      </w:r>
      <w:r>
        <w:rPr>
          <w:rFonts w:ascii="Times New Roman" w:hAnsi="Times New Roman" w:cs="Times New Roman"/>
          <w:sz w:val="24"/>
          <w:szCs w:val="24"/>
        </w:rPr>
        <w:t xml:space="preserve">upsurge of </w:t>
      </w:r>
      <w:r w:rsidR="00EE168C" w:rsidRPr="008D0CBA">
        <w:rPr>
          <w:rFonts w:ascii="Times New Roman" w:hAnsi="Times New Roman" w:cs="Times New Roman"/>
          <w:sz w:val="24"/>
          <w:szCs w:val="24"/>
        </w:rPr>
        <w:t>contributions</w:t>
      </w:r>
      <w:r>
        <w:rPr>
          <w:rFonts w:ascii="Times New Roman" w:hAnsi="Times New Roman" w:cs="Times New Roman"/>
          <w:sz w:val="24"/>
          <w:szCs w:val="24"/>
        </w:rPr>
        <w:t xml:space="preserve"> in NT publications, having</w:t>
      </w:r>
      <w:r w:rsidR="00EE168C" w:rsidRPr="008D0CBA">
        <w:rPr>
          <w:rFonts w:ascii="Times New Roman" w:hAnsi="Times New Roman" w:cs="Times New Roman"/>
          <w:sz w:val="24"/>
          <w:szCs w:val="24"/>
        </w:rPr>
        <w:t xml:space="preserve"> diverse style</w:t>
      </w:r>
      <w:r>
        <w:rPr>
          <w:rFonts w:ascii="Times New Roman" w:hAnsi="Times New Roman" w:cs="Times New Roman"/>
          <w:sz w:val="24"/>
          <w:szCs w:val="24"/>
        </w:rPr>
        <w:t>s</w:t>
      </w:r>
      <w:r w:rsidR="00EE168C" w:rsidRPr="008D0CBA">
        <w:rPr>
          <w:rFonts w:ascii="Times New Roman" w:hAnsi="Times New Roman" w:cs="Times New Roman"/>
          <w:sz w:val="24"/>
          <w:szCs w:val="24"/>
        </w:rPr>
        <w:t xml:space="preserve"> </w:t>
      </w:r>
      <w:r>
        <w:rPr>
          <w:rFonts w:ascii="Times New Roman" w:hAnsi="Times New Roman" w:cs="Times New Roman"/>
          <w:sz w:val="24"/>
          <w:szCs w:val="24"/>
        </w:rPr>
        <w:t>and</w:t>
      </w:r>
      <w:r w:rsidR="00EE168C" w:rsidRPr="008D0CBA">
        <w:rPr>
          <w:rFonts w:ascii="Times New Roman" w:hAnsi="Times New Roman" w:cs="Times New Roman"/>
          <w:sz w:val="24"/>
          <w:szCs w:val="24"/>
        </w:rPr>
        <w:t xml:space="preserve"> approach</w:t>
      </w:r>
      <w:r>
        <w:rPr>
          <w:rFonts w:ascii="Times New Roman" w:hAnsi="Times New Roman" w:cs="Times New Roman"/>
          <w:sz w:val="24"/>
          <w:szCs w:val="24"/>
        </w:rPr>
        <w:t>es</w:t>
      </w:r>
      <w:r w:rsidR="00EE168C" w:rsidRPr="008D0CBA">
        <w:rPr>
          <w:rFonts w:ascii="Times New Roman" w:hAnsi="Times New Roman" w:cs="Times New Roman"/>
          <w:sz w:val="24"/>
          <w:szCs w:val="24"/>
        </w:rPr>
        <w:t xml:space="preserve">, </w:t>
      </w:r>
      <w:r w:rsidR="00AC5E6E" w:rsidRPr="008D0CBA">
        <w:rPr>
          <w:rFonts w:ascii="Times New Roman" w:hAnsi="Times New Roman" w:cs="Times New Roman"/>
          <w:sz w:val="24"/>
          <w:szCs w:val="24"/>
        </w:rPr>
        <w:t xml:space="preserve">they are yet to be articulated in a way that </w:t>
      </w:r>
      <w:r>
        <w:rPr>
          <w:rFonts w:ascii="Times New Roman" w:hAnsi="Times New Roman" w:cs="Times New Roman"/>
          <w:sz w:val="24"/>
          <w:szCs w:val="24"/>
        </w:rPr>
        <w:t>shows a unified structure of NT that does not overemphasis either the unity or diversity of the NTT</w:t>
      </w:r>
      <w:r w:rsidR="00AC5E6E" w:rsidRPr="008D0CBA">
        <w:rPr>
          <w:rFonts w:ascii="Times New Roman" w:hAnsi="Times New Roman" w:cs="Times New Roman"/>
          <w:sz w:val="24"/>
          <w:szCs w:val="24"/>
        </w:rPr>
        <w:t>.</w:t>
      </w:r>
      <w:r w:rsidR="00D046BE" w:rsidRPr="008D0CBA">
        <w:rPr>
          <w:rFonts w:ascii="Times New Roman" w:hAnsi="Times New Roman" w:cs="Times New Roman"/>
          <w:sz w:val="24"/>
          <w:szCs w:val="24"/>
        </w:rPr>
        <w:t xml:space="preserve"> This is important, as it ensures its contemporary</w:t>
      </w:r>
      <w:r>
        <w:rPr>
          <w:rFonts w:ascii="Times New Roman" w:hAnsi="Times New Roman" w:cs="Times New Roman"/>
          <w:sz w:val="24"/>
          <w:szCs w:val="24"/>
        </w:rPr>
        <w:t xml:space="preserve"> cultural</w:t>
      </w:r>
      <w:r w:rsidR="00D046BE" w:rsidRPr="008D0CBA">
        <w:rPr>
          <w:rFonts w:ascii="Times New Roman" w:hAnsi="Times New Roman" w:cs="Times New Roman"/>
          <w:sz w:val="24"/>
          <w:szCs w:val="24"/>
        </w:rPr>
        <w:t xml:space="preserve"> relevance (its survival and secures wider audience for NTT through a respectful and intelligent</w:t>
      </w:r>
      <w:r w:rsidR="00AC5E6E" w:rsidRPr="008D0CBA">
        <w:rPr>
          <w:rFonts w:ascii="Times New Roman" w:hAnsi="Times New Roman" w:cs="Times New Roman"/>
          <w:sz w:val="24"/>
          <w:szCs w:val="24"/>
        </w:rPr>
        <w:t xml:space="preserve"> interact</w:t>
      </w:r>
      <w:r w:rsidR="00D046BE" w:rsidRPr="008D0CBA">
        <w:rPr>
          <w:rFonts w:ascii="Times New Roman" w:hAnsi="Times New Roman" w:cs="Times New Roman"/>
          <w:sz w:val="24"/>
          <w:szCs w:val="24"/>
        </w:rPr>
        <w:t>ion</w:t>
      </w:r>
      <w:r w:rsidR="00AC5E6E" w:rsidRPr="008D0CBA">
        <w:rPr>
          <w:rFonts w:ascii="Times New Roman" w:hAnsi="Times New Roman" w:cs="Times New Roman"/>
          <w:sz w:val="24"/>
          <w:szCs w:val="24"/>
        </w:rPr>
        <w:t xml:space="preserve"> with </w:t>
      </w:r>
      <w:r w:rsidR="00D046BE" w:rsidRPr="008D0CBA">
        <w:rPr>
          <w:rFonts w:ascii="Times New Roman" w:hAnsi="Times New Roman" w:cs="Times New Roman"/>
          <w:sz w:val="24"/>
          <w:szCs w:val="24"/>
        </w:rPr>
        <w:t>both secu</w:t>
      </w:r>
      <w:r>
        <w:rPr>
          <w:rFonts w:ascii="Times New Roman" w:hAnsi="Times New Roman" w:cs="Times New Roman"/>
          <w:sz w:val="24"/>
          <w:szCs w:val="24"/>
        </w:rPr>
        <w:t xml:space="preserve">larism and religious pluralism. </w:t>
      </w:r>
      <w:r w:rsidR="00DE0CD4" w:rsidRPr="008D0CBA">
        <w:rPr>
          <w:rFonts w:ascii="Times New Roman" w:hAnsi="Times New Roman" w:cs="Times New Roman"/>
          <w:sz w:val="24"/>
          <w:szCs w:val="24"/>
        </w:rPr>
        <w:t>Wendel Sun in h</w:t>
      </w:r>
      <w:r>
        <w:rPr>
          <w:rFonts w:ascii="Times New Roman" w:hAnsi="Times New Roman" w:cs="Times New Roman"/>
          <w:sz w:val="24"/>
          <w:szCs w:val="24"/>
        </w:rPr>
        <w:t>is survey of the New Testament T</w:t>
      </w:r>
      <w:r w:rsidR="00DE0CD4" w:rsidRPr="008D0CBA">
        <w:rPr>
          <w:rFonts w:ascii="Times New Roman" w:hAnsi="Times New Roman" w:cs="Times New Roman"/>
          <w:sz w:val="24"/>
          <w:szCs w:val="24"/>
        </w:rPr>
        <w:t xml:space="preserve">heologies opines that </w:t>
      </w:r>
      <w:r w:rsidR="00D046BE" w:rsidRPr="008D0CBA">
        <w:rPr>
          <w:rFonts w:ascii="Times New Roman" w:hAnsi="Times New Roman" w:cs="Times New Roman"/>
          <w:sz w:val="24"/>
          <w:szCs w:val="24"/>
        </w:rPr>
        <w:t>NTT</w:t>
      </w:r>
      <w:r w:rsidR="00DE0CD4" w:rsidRPr="008D0CBA">
        <w:rPr>
          <w:rFonts w:ascii="Times New Roman" w:hAnsi="Times New Roman" w:cs="Times New Roman"/>
          <w:sz w:val="24"/>
          <w:szCs w:val="24"/>
        </w:rPr>
        <w:t xml:space="preserve"> publications</w:t>
      </w:r>
      <w:r w:rsidR="00D046BE" w:rsidRPr="008D0CBA">
        <w:rPr>
          <w:rFonts w:ascii="Times New Roman" w:hAnsi="Times New Roman" w:cs="Times New Roman"/>
          <w:sz w:val="24"/>
          <w:szCs w:val="24"/>
        </w:rPr>
        <w:t xml:space="preserve"> need to be able to demonstrate the unity of the NT through accurate exegetical work that does not blunt its diversity, finding its theological cohesiveness in its broad </w:t>
      </w:r>
      <w:r w:rsidR="00DE0CD4" w:rsidRPr="008D0CBA">
        <w:rPr>
          <w:rFonts w:ascii="Times New Roman" w:hAnsi="Times New Roman" w:cs="Times New Roman"/>
          <w:sz w:val="24"/>
          <w:szCs w:val="24"/>
        </w:rPr>
        <w:t>historical approach.</w:t>
      </w:r>
      <w:r w:rsidR="0092078B">
        <w:rPr>
          <w:rFonts w:ascii="Times New Roman" w:hAnsi="Times New Roman" w:cs="Times New Roman"/>
          <w:sz w:val="24"/>
          <w:szCs w:val="24"/>
        </w:rPr>
        <w:t xml:space="preserve"> </w:t>
      </w:r>
      <w:r w:rsidR="00DE0CD4" w:rsidRPr="008D0CBA">
        <w:rPr>
          <w:rFonts w:ascii="Times New Roman" w:hAnsi="Times New Roman" w:cs="Times New Roman"/>
          <w:sz w:val="24"/>
          <w:szCs w:val="24"/>
        </w:rPr>
        <w:t xml:space="preserve">And so, in exploring these approaches Wendel Sun painstakingly exposes the strength and weakness of the approaches insofar as it benefits a coherency within the discipline and also the Church’s understanding of her mission to the world. </w:t>
      </w:r>
    </w:p>
    <w:p w:rsidR="009D0CCD" w:rsidRPr="008D0CBA" w:rsidRDefault="00CB6893" w:rsidP="008D0CBA">
      <w:pPr>
        <w:autoSpaceDE w:val="0"/>
        <w:autoSpaceDN w:val="0"/>
        <w:adjustRightInd w:val="0"/>
        <w:spacing w:after="0" w:line="360" w:lineRule="auto"/>
        <w:ind w:firstLine="720"/>
        <w:jc w:val="both"/>
        <w:rPr>
          <w:rFonts w:ascii="Times New Roman" w:hAnsi="Times New Roman" w:cs="Times New Roman"/>
          <w:sz w:val="24"/>
          <w:szCs w:val="24"/>
        </w:rPr>
      </w:pPr>
      <w:r w:rsidRPr="008D0CBA">
        <w:rPr>
          <w:rFonts w:ascii="Times New Roman" w:hAnsi="Times New Roman" w:cs="Times New Roman"/>
          <w:sz w:val="24"/>
          <w:szCs w:val="24"/>
        </w:rPr>
        <w:t xml:space="preserve">Howard Marshall </w:t>
      </w:r>
      <w:r w:rsidR="009D0CCD" w:rsidRPr="008D0CBA">
        <w:rPr>
          <w:rFonts w:ascii="Times New Roman" w:hAnsi="Times New Roman" w:cs="Times New Roman"/>
          <w:sz w:val="24"/>
          <w:szCs w:val="24"/>
        </w:rPr>
        <w:t>discovers</w:t>
      </w:r>
      <w:r w:rsidR="00DE0CD4" w:rsidRPr="008D0CBA">
        <w:rPr>
          <w:rFonts w:ascii="Times New Roman" w:hAnsi="Times New Roman" w:cs="Times New Roman"/>
          <w:sz w:val="24"/>
          <w:szCs w:val="24"/>
        </w:rPr>
        <w:t xml:space="preserve"> </w:t>
      </w:r>
      <w:r w:rsidR="009D0CCD" w:rsidRPr="008D0CBA">
        <w:rPr>
          <w:rFonts w:ascii="Times New Roman" w:hAnsi="Times New Roman" w:cs="Times New Roman"/>
          <w:sz w:val="24"/>
          <w:szCs w:val="24"/>
        </w:rPr>
        <w:t>that the various strands of NTT are tied together by the concept of mission</w:t>
      </w:r>
      <w:r w:rsidRPr="008D0CBA">
        <w:rPr>
          <w:rFonts w:ascii="Times New Roman" w:hAnsi="Times New Roman" w:cs="Times New Roman"/>
          <w:sz w:val="24"/>
          <w:szCs w:val="24"/>
        </w:rPr>
        <w:t xml:space="preserve">. He holds that all the NT writers shared a common faith and a common </w:t>
      </w:r>
      <w:r w:rsidR="009D0CCD" w:rsidRPr="008D0CBA">
        <w:rPr>
          <w:rFonts w:ascii="Times New Roman" w:hAnsi="Times New Roman" w:cs="Times New Roman"/>
          <w:sz w:val="24"/>
          <w:szCs w:val="24"/>
        </w:rPr>
        <w:t xml:space="preserve">purpose - </w:t>
      </w:r>
      <w:r w:rsidRPr="008D0CBA">
        <w:rPr>
          <w:rFonts w:ascii="Times New Roman" w:hAnsi="Times New Roman" w:cs="Times New Roman"/>
          <w:sz w:val="24"/>
          <w:szCs w:val="24"/>
        </w:rPr>
        <w:t xml:space="preserve">the belief </w:t>
      </w:r>
      <w:r w:rsidR="009D0CCD" w:rsidRPr="008D0CBA">
        <w:rPr>
          <w:rFonts w:ascii="Times New Roman" w:hAnsi="Times New Roman" w:cs="Times New Roman"/>
          <w:sz w:val="24"/>
          <w:szCs w:val="24"/>
        </w:rPr>
        <w:t>that the</w:t>
      </w:r>
      <w:r w:rsidRPr="008D0CBA">
        <w:rPr>
          <w:rFonts w:ascii="Times New Roman" w:hAnsi="Times New Roman" w:cs="Times New Roman"/>
          <w:sz w:val="24"/>
          <w:szCs w:val="24"/>
        </w:rPr>
        <w:t xml:space="preserve"> Messiah </w:t>
      </w:r>
      <w:r w:rsidR="009D0CCD" w:rsidRPr="008D0CBA">
        <w:rPr>
          <w:rFonts w:ascii="Times New Roman" w:hAnsi="Times New Roman" w:cs="Times New Roman"/>
          <w:sz w:val="24"/>
          <w:szCs w:val="24"/>
        </w:rPr>
        <w:t xml:space="preserve">came </w:t>
      </w:r>
      <w:r w:rsidRPr="008D0CBA">
        <w:rPr>
          <w:rFonts w:ascii="Times New Roman" w:hAnsi="Times New Roman" w:cs="Times New Roman"/>
          <w:sz w:val="24"/>
          <w:szCs w:val="24"/>
        </w:rPr>
        <w:t xml:space="preserve">for </w:t>
      </w:r>
      <w:r w:rsidR="009D0CCD" w:rsidRPr="008D0CBA">
        <w:rPr>
          <w:rFonts w:ascii="Times New Roman" w:hAnsi="Times New Roman" w:cs="Times New Roman"/>
          <w:sz w:val="24"/>
          <w:szCs w:val="24"/>
        </w:rPr>
        <w:t>all</w:t>
      </w:r>
      <w:r w:rsidRPr="008D0CBA">
        <w:rPr>
          <w:rFonts w:ascii="Times New Roman" w:hAnsi="Times New Roman" w:cs="Times New Roman"/>
          <w:sz w:val="24"/>
          <w:szCs w:val="24"/>
        </w:rPr>
        <w:t xml:space="preserve">. </w:t>
      </w:r>
      <w:r w:rsidR="00B41A78" w:rsidRPr="008D0CBA">
        <w:rPr>
          <w:rFonts w:ascii="Times New Roman" w:hAnsi="Times New Roman" w:cs="Times New Roman"/>
          <w:sz w:val="24"/>
          <w:szCs w:val="24"/>
        </w:rPr>
        <w:t xml:space="preserve">He </w:t>
      </w:r>
      <w:r w:rsidR="009D0CCD" w:rsidRPr="008D0CBA">
        <w:rPr>
          <w:rFonts w:ascii="Times New Roman" w:hAnsi="Times New Roman" w:cs="Times New Roman"/>
          <w:sz w:val="24"/>
          <w:szCs w:val="24"/>
        </w:rPr>
        <w:t>highligh</w:t>
      </w:r>
      <w:r w:rsidR="00B41A78" w:rsidRPr="008D0CBA">
        <w:rPr>
          <w:rFonts w:ascii="Times New Roman" w:hAnsi="Times New Roman" w:cs="Times New Roman"/>
          <w:sz w:val="24"/>
          <w:szCs w:val="24"/>
        </w:rPr>
        <w:t>ts</w:t>
      </w:r>
      <w:r w:rsidR="009D0CCD" w:rsidRPr="008D0CBA">
        <w:rPr>
          <w:rFonts w:ascii="Times New Roman" w:hAnsi="Times New Roman" w:cs="Times New Roman"/>
          <w:sz w:val="24"/>
          <w:szCs w:val="24"/>
        </w:rPr>
        <w:t xml:space="preserve"> </w:t>
      </w:r>
      <w:r w:rsidRPr="008D0CBA">
        <w:rPr>
          <w:rFonts w:ascii="Times New Roman" w:hAnsi="Times New Roman" w:cs="Times New Roman"/>
          <w:sz w:val="24"/>
          <w:szCs w:val="24"/>
        </w:rPr>
        <w:t>the unique theological themes of each NT</w:t>
      </w:r>
      <w:r w:rsidR="009D0CCD" w:rsidRPr="008D0CBA">
        <w:rPr>
          <w:rFonts w:ascii="Times New Roman" w:hAnsi="Times New Roman" w:cs="Times New Roman"/>
          <w:sz w:val="24"/>
          <w:szCs w:val="24"/>
        </w:rPr>
        <w:t xml:space="preserve"> </w:t>
      </w:r>
      <w:r w:rsidRPr="008D0CBA">
        <w:rPr>
          <w:rFonts w:ascii="Times New Roman" w:hAnsi="Times New Roman" w:cs="Times New Roman"/>
          <w:sz w:val="24"/>
          <w:szCs w:val="24"/>
        </w:rPr>
        <w:t xml:space="preserve">document and </w:t>
      </w:r>
      <w:r w:rsidR="009D0CCD" w:rsidRPr="008D0CBA">
        <w:rPr>
          <w:rFonts w:ascii="Times New Roman" w:hAnsi="Times New Roman" w:cs="Times New Roman"/>
          <w:sz w:val="24"/>
          <w:szCs w:val="24"/>
        </w:rPr>
        <w:t>goes on</w:t>
      </w:r>
      <w:r w:rsidRPr="008D0CBA">
        <w:rPr>
          <w:rFonts w:ascii="Times New Roman" w:hAnsi="Times New Roman" w:cs="Times New Roman"/>
          <w:sz w:val="24"/>
          <w:szCs w:val="24"/>
        </w:rPr>
        <w:t xml:space="preserve"> to show the</w:t>
      </w:r>
      <w:r w:rsidR="009D0CCD" w:rsidRPr="008D0CBA">
        <w:rPr>
          <w:rFonts w:ascii="Times New Roman" w:hAnsi="Times New Roman" w:cs="Times New Roman"/>
          <w:sz w:val="24"/>
          <w:szCs w:val="24"/>
        </w:rPr>
        <w:t>ir</w:t>
      </w:r>
      <w:r w:rsidRPr="008D0CBA">
        <w:rPr>
          <w:rFonts w:ascii="Times New Roman" w:hAnsi="Times New Roman" w:cs="Times New Roman"/>
          <w:sz w:val="24"/>
          <w:szCs w:val="24"/>
        </w:rPr>
        <w:t xml:space="preserve"> </w:t>
      </w:r>
      <w:r w:rsidR="009D0CCD" w:rsidRPr="008D0CBA">
        <w:rPr>
          <w:rFonts w:ascii="Times New Roman" w:hAnsi="Times New Roman" w:cs="Times New Roman"/>
          <w:sz w:val="24"/>
          <w:szCs w:val="24"/>
        </w:rPr>
        <w:t>unity beyond</w:t>
      </w:r>
      <w:r w:rsidRPr="008D0CBA">
        <w:rPr>
          <w:rFonts w:ascii="Times New Roman" w:hAnsi="Times New Roman" w:cs="Times New Roman"/>
          <w:sz w:val="24"/>
          <w:szCs w:val="24"/>
        </w:rPr>
        <w:t xml:space="preserve"> canon</w:t>
      </w:r>
      <w:r w:rsidR="00B41A78" w:rsidRPr="008D0CBA">
        <w:rPr>
          <w:rFonts w:ascii="Times New Roman" w:hAnsi="Times New Roman" w:cs="Times New Roman"/>
          <w:sz w:val="24"/>
          <w:szCs w:val="24"/>
        </w:rPr>
        <w:t>s</w:t>
      </w:r>
      <w:r w:rsidRPr="008D0CBA">
        <w:rPr>
          <w:rFonts w:ascii="Times New Roman" w:hAnsi="Times New Roman" w:cs="Times New Roman"/>
          <w:sz w:val="24"/>
          <w:szCs w:val="24"/>
        </w:rPr>
        <w:t>, to the</w:t>
      </w:r>
      <w:r w:rsidR="009D0CCD" w:rsidRPr="008D0CBA">
        <w:rPr>
          <w:rFonts w:ascii="Times New Roman" w:hAnsi="Times New Roman" w:cs="Times New Roman"/>
          <w:sz w:val="24"/>
          <w:szCs w:val="24"/>
        </w:rPr>
        <w:t xml:space="preserve">ir </w:t>
      </w:r>
      <w:r w:rsidRPr="008D0CBA">
        <w:rPr>
          <w:rFonts w:ascii="Times New Roman" w:hAnsi="Times New Roman" w:cs="Times New Roman"/>
          <w:sz w:val="24"/>
          <w:szCs w:val="24"/>
        </w:rPr>
        <w:t>“underlying history</w:t>
      </w:r>
      <w:r w:rsidR="009D0CCD" w:rsidRPr="008D0CBA">
        <w:rPr>
          <w:rFonts w:ascii="Times New Roman" w:hAnsi="Times New Roman" w:cs="Times New Roman"/>
          <w:sz w:val="24"/>
          <w:szCs w:val="24"/>
        </w:rPr>
        <w:t xml:space="preserve"> and experience” of the writers.</w:t>
      </w:r>
      <w:r w:rsidR="00B41A78" w:rsidRPr="008D0CBA">
        <w:rPr>
          <w:rFonts w:ascii="Times New Roman" w:hAnsi="Times New Roman" w:cs="Times New Roman"/>
          <w:sz w:val="24"/>
          <w:szCs w:val="24"/>
        </w:rPr>
        <w:t xml:space="preserve"> But it does not show how the centrality of the Gospel story NTT. </w:t>
      </w:r>
    </w:p>
    <w:p w:rsidR="009D0CCD" w:rsidRPr="008D0CBA" w:rsidRDefault="00B41A78" w:rsidP="008D0CBA">
      <w:pPr>
        <w:autoSpaceDE w:val="0"/>
        <w:autoSpaceDN w:val="0"/>
        <w:adjustRightInd w:val="0"/>
        <w:spacing w:after="0" w:line="360" w:lineRule="auto"/>
        <w:ind w:firstLine="720"/>
        <w:jc w:val="both"/>
        <w:rPr>
          <w:rFonts w:ascii="Times New Roman" w:hAnsi="Times New Roman" w:cs="Times New Roman"/>
          <w:sz w:val="24"/>
          <w:szCs w:val="24"/>
        </w:rPr>
      </w:pPr>
      <w:r w:rsidRPr="008D0CBA">
        <w:rPr>
          <w:rFonts w:ascii="Times New Roman" w:hAnsi="Times New Roman" w:cs="Times New Roman"/>
          <w:sz w:val="24"/>
          <w:szCs w:val="24"/>
        </w:rPr>
        <w:t>F</w:t>
      </w:r>
      <w:r w:rsidR="009D0CCD" w:rsidRPr="008D0CBA">
        <w:rPr>
          <w:rFonts w:ascii="Times New Roman" w:hAnsi="Times New Roman" w:cs="Times New Roman"/>
          <w:sz w:val="24"/>
          <w:szCs w:val="24"/>
        </w:rPr>
        <w:t xml:space="preserve">rank Theilman emphasizes the historical setting. This too limits </w:t>
      </w:r>
      <w:r w:rsidRPr="008D0CBA">
        <w:rPr>
          <w:rFonts w:ascii="Times New Roman" w:hAnsi="Times New Roman" w:cs="Times New Roman"/>
          <w:sz w:val="24"/>
          <w:szCs w:val="24"/>
        </w:rPr>
        <w:t>the understanding of unity to a few theological themes which does not exhaust the broad concepts in Christian writings.</w:t>
      </w:r>
    </w:p>
    <w:p w:rsidR="00DE0CD4" w:rsidRPr="008D0CBA" w:rsidRDefault="00B41A78" w:rsidP="008D0CBA">
      <w:pPr>
        <w:autoSpaceDE w:val="0"/>
        <w:autoSpaceDN w:val="0"/>
        <w:adjustRightInd w:val="0"/>
        <w:spacing w:after="0" w:line="360" w:lineRule="auto"/>
        <w:jc w:val="both"/>
        <w:rPr>
          <w:rFonts w:ascii="Times New Roman" w:hAnsi="Times New Roman" w:cs="Times New Roman"/>
          <w:sz w:val="24"/>
          <w:szCs w:val="24"/>
        </w:rPr>
      </w:pPr>
      <w:r w:rsidRPr="008D0CBA">
        <w:rPr>
          <w:rFonts w:ascii="Times New Roman" w:hAnsi="Times New Roman" w:cs="Times New Roman"/>
          <w:sz w:val="24"/>
          <w:szCs w:val="24"/>
        </w:rPr>
        <w:t>Frank J. Matera offers a thematic approach to NTT, even though he highlights the author’s unique emphasis</w:t>
      </w:r>
      <w:r w:rsidR="002A1CC3" w:rsidRPr="008D0CBA">
        <w:rPr>
          <w:rFonts w:ascii="Times New Roman" w:hAnsi="Times New Roman" w:cs="Times New Roman"/>
          <w:sz w:val="24"/>
          <w:szCs w:val="24"/>
        </w:rPr>
        <w:t>. The unity of NT is a presupposition of faith as witness to God’s self-revelation in Jesus. He also recognizes the common narrative glue of NT.  His hypothesis are somewhat mere theological pronouncements without sufficient interpretative rationale.</w:t>
      </w:r>
    </w:p>
    <w:p w:rsidR="002A1CC3" w:rsidRPr="008D0CBA" w:rsidRDefault="002A1CC3" w:rsidP="008D0CBA">
      <w:pPr>
        <w:autoSpaceDE w:val="0"/>
        <w:autoSpaceDN w:val="0"/>
        <w:adjustRightInd w:val="0"/>
        <w:spacing w:after="0" w:line="360" w:lineRule="auto"/>
        <w:ind w:firstLine="720"/>
        <w:jc w:val="both"/>
        <w:rPr>
          <w:rFonts w:ascii="Times New Roman" w:hAnsi="Times New Roman" w:cs="Times New Roman"/>
          <w:sz w:val="24"/>
          <w:szCs w:val="24"/>
        </w:rPr>
      </w:pPr>
      <w:r w:rsidRPr="008D0CBA">
        <w:rPr>
          <w:rFonts w:ascii="Times New Roman" w:hAnsi="Times New Roman" w:cs="Times New Roman"/>
          <w:sz w:val="24"/>
          <w:szCs w:val="24"/>
        </w:rPr>
        <w:t>Thomas Schreiner argues the NTT is God-center, Christ-center and Spirit-Saturated, understood along a salvation-historical timeline.</w:t>
      </w:r>
      <w:r w:rsidR="00C35D0C" w:rsidRPr="008D0CBA">
        <w:rPr>
          <w:rFonts w:ascii="Times New Roman" w:hAnsi="Times New Roman" w:cs="Times New Roman"/>
          <w:sz w:val="24"/>
          <w:szCs w:val="24"/>
        </w:rPr>
        <w:t xml:space="preserve"> Schreiner offers an alternative approach to unity in the NT’s fundamental theological themes that runs through the Canon. This too falls short of theological warrants for the many systematic and theological proclamations.</w:t>
      </w:r>
    </w:p>
    <w:p w:rsidR="00C35D0C" w:rsidRPr="008D0CBA" w:rsidRDefault="00C35D0C" w:rsidP="008D0CBA">
      <w:pPr>
        <w:autoSpaceDE w:val="0"/>
        <w:autoSpaceDN w:val="0"/>
        <w:adjustRightInd w:val="0"/>
        <w:spacing w:after="0" w:line="360" w:lineRule="auto"/>
        <w:ind w:firstLine="720"/>
        <w:jc w:val="both"/>
        <w:rPr>
          <w:rFonts w:ascii="Times New Roman" w:hAnsi="Times New Roman" w:cs="Times New Roman"/>
          <w:sz w:val="24"/>
          <w:szCs w:val="24"/>
        </w:rPr>
      </w:pPr>
      <w:r w:rsidRPr="008D0CBA">
        <w:rPr>
          <w:rFonts w:ascii="Times New Roman" w:hAnsi="Times New Roman" w:cs="Times New Roman"/>
          <w:sz w:val="24"/>
          <w:szCs w:val="24"/>
        </w:rPr>
        <w:t>Udo Schnelle aims to facilitate authentic of the NT’s meaning in the present (for contemporary believers). It is an existential approach of interpreting the NT, seeking to make sense of life</w:t>
      </w:r>
      <w:r w:rsidR="00C675BF" w:rsidRPr="008D0CBA">
        <w:rPr>
          <w:rFonts w:ascii="Times New Roman" w:hAnsi="Times New Roman" w:cs="Times New Roman"/>
          <w:sz w:val="24"/>
          <w:szCs w:val="24"/>
        </w:rPr>
        <w:t xml:space="preserve">, death and resurrection of Christ and their experience of salvation in him. Its uniqueness as well as its historical, thematic and theological imports derived from the experience of the Christ-event supports the claim that “variety clearly has the precedence, and there can be no such thing </w:t>
      </w:r>
      <w:r w:rsidR="00C675BF" w:rsidRPr="008D0CBA">
        <w:rPr>
          <w:rFonts w:ascii="Times New Roman" w:hAnsi="Times New Roman" w:cs="Times New Roman"/>
          <w:sz w:val="24"/>
          <w:szCs w:val="24"/>
        </w:rPr>
        <w:lastRenderedPageBreak/>
        <w:t xml:space="preserve">as theology in the singular.” </w:t>
      </w:r>
      <w:r w:rsidR="004D75A1" w:rsidRPr="008D0CBA">
        <w:rPr>
          <w:rFonts w:ascii="Times New Roman" w:hAnsi="Times New Roman" w:cs="Times New Roman"/>
          <w:sz w:val="24"/>
          <w:szCs w:val="24"/>
        </w:rPr>
        <w:t>Even though he streamlines the NT’</w:t>
      </w:r>
      <w:r w:rsidR="00E059C7" w:rsidRPr="008D0CBA">
        <w:rPr>
          <w:rFonts w:ascii="Times New Roman" w:hAnsi="Times New Roman" w:cs="Times New Roman"/>
          <w:sz w:val="24"/>
          <w:szCs w:val="24"/>
        </w:rPr>
        <w:t xml:space="preserve">s diversity within </w:t>
      </w:r>
      <w:r w:rsidR="004D75A1" w:rsidRPr="008D0CBA">
        <w:rPr>
          <w:rFonts w:ascii="Times New Roman" w:hAnsi="Times New Roman" w:cs="Times New Roman"/>
          <w:sz w:val="24"/>
          <w:szCs w:val="24"/>
        </w:rPr>
        <w:t>real limits, the fails to resolves the internal inconsistencies therein.</w:t>
      </w:r>
    </w:p>
    <w:p w:rsidR="004D75A1" w:rsidRPr="008D0CBA" w:rsidRDefault="004D75A1" w:rsidP="008D0CBA">
      <w:pPr>
        <w:autoSpaceDE w:val="0"/>
        <w:autoSpaceDN w:val="0"/>
        <w:adjustRightInd w:val="0"/>
        <w:spacing w:after="0" w:line="360" w:lineRule="auto"/>
        <w:ind w:firstLine="720"/>
        <w:jc w:val="both"/>
        <w:rPr>
          <w:rFonts w:ascii="Times New Roman" w:hAnsi="Times New Roman" w:cs="Times New Roman"/>
          <w:sz w:val="24"/>
          <w:szCs w:val="24"/>
        </w:rPr>
      </w:pPr>
      <w:r w:rsidRPr="008D0CBA">
        <w:rPr>
          <w:rFonts w:ascii="Times New Roman" w:hAnsi="Times New Roman" w:cs="Times New Roman"/>
          <w:sz w:val="24"/>
          <w:szCs w:val="24"/>
        </w:rPr>
        <w:t xml:space="preserve">G. K. Beale presents the </w:t>
      </w:r>
      <w:r w:rsidR="00E059C7" w:rsidRPr="008D0CBA">
        <w:rPr>
          <w:rFonts w:ascii="Times New Roman" w:hAnsi="Times New Roman" w:cs="Times New Roman"/>
          <w:sz w:val="24"/>
          <w:szCs w:val="24"/>
        </w:rPr>
        <w:t>theology</w:t>
      </w:r>
      <w:r w:rsidRPr="008D0CBA">
        <w:rPr>
          <w:rFonts w:ascii="Times New Roman" w:hAnsi="Times New Roman" w:cs="Times New Roman"/>
          <w:sz w:val="24"/>
          <w:szCs w:val="24"/>
        </w:rPr>
        <w:t xml:space="preserve"> of NT in relation to the OT as a “whole-bible biblical theology.”</w:t>
      </w:r>
      <w:r w:rsidR="00482708" w:rsidRPr="008D0CBA">
        <w:rPr>
          <w:rFonts w:ascii="Times New Roman" w:hAnsi="Times New Roman" w:cs="Times New Roman"/>
          <w:sz w:val="24"/>
          <w:szCs w:val="24"/>
        </w:rPr>
        <w:t xml:space="preserve"> For him, the theological unity of the bible is to be found in its storyline. This narrative concept </w:t>
      </w:r>
      <w:r w:rsidR="005717EA" w:rsidRPr="008D0CBA">
        <w:rPr>
          <w:rFonts w:ascii="Times New Roman" w:hAnsi="Times New Roman" w:cs="Times New Roman"/>
          <w:sz w:val="24"/>
          <w:szCs w:val="24"/>
        </w:rPr>
        <w:t xml:space="preserve">and intertextual approach </w:t>
      </w:r>
      <w:r w:rsidR="00482708" w:rsidRPr="008D0CBA">
        <w:rPr>
          <w:rFonts w:ascii="Times New Roman" w:hAnsi="Times New Roman" w:cs="Times New Roman"/>
          <w:sz w:val="24"/>
          <w:szCs w:val="24"/>
        </w:rPr>
        <w:t>highlights through a systematic movement the distinctive contributions of the various authors.</w:t>
      </w:r>
      <w:r w:rsidR="005717EA" w:rsidRPr="008D0CBA">
        <w:rPr>
          <w:rFonts w:ascii="Times New Roman" w:hAnsi="Times New Roman" w:cs="Times New Roman"/>
          <w:sz w:val="24"/>
          <w:szCs w:val="24"/>
        </w:rPr>
        <w:t xml:space="preserve"> This accounts for a greater internal consistency</w:t>
      </w:r>
      <w:r w:rsidR="007C4EAE" w:rsidRPr="008D0CBA">
        <w:rPr>
          <w:rFonts w:ascii="Times New Roman" w:hAnsi="Times New Roman" w:cs="Times New Roman"/>
          <w:sz w:val="24"/>
          <w:szCs w:val="24"/>
        </w:rPr>
        <w:t>.</w:t>
      </w:r>
      <w:r w:rsidR="008D0CBA" w:rsidRPr="008D0CBA">
        <w:rPr>
          <w:rFonts w:ascii="Times New Roman" w:hAnsi="Times New Roman" w:cs="Times New Roman"/>
          <w:sz w:val="24"/>
          <w:szCs w:val="24"/>
        </w:rPr>
        <w:tab/>
      </w:r>
    </w:p>
    <w:p w:rsidR="00EE168C" w:rsidRPr="008D0CBA" w:rsidRDefault="00EE168C" w:rsidP="008D0CBA">
      <w:pPr>
        <w:autoSpaceDE w:val="0"/>
        <w:autoSpaceDN w:val="0"/>
        <w:adjustRightInd w:val="0"/>
        <w:spacing w:after="0" w:line="360" w:lineRule="auto"/>
        <w:jc w:val="both"/>
        <w:rPr>
          <w:rFonts w:ascii="Times New Roman" w:hAnsi="Times New Roman" w:cs="Times New Roman"/>
          <w:b/>
          <w:bCs/>
          <w:sz w:val="24"/>
          <w:szCs w:val="24"/>
        </w:rPr>
      </w:pPr>
      <w:r w:rsidRPr="008D0CBA">
        <w:rPr>
          <w:rFonts w:ascii="Times New Roman" w:hAnsi="Times New Roman" w:cs="Times New Roman"/>
          <w:b/>
          <w:bCs/>
          <w:sz w:val="24"/>
          <w:szCs w:val="24"/>
        </w:rPr>
        <w:t>The Way Forward</w:t>
      </w:r>
    </w:p>
    <w:p w:rsidR="009A6AD7" w:rsidRDefault="00EE168C" w:rsidP="008D0CBA">
      <w:pPr>
        <w:autoSpaceDE w:val="0"/>
        <w:autoSpaceDN w:val="0"/>
        <w:adjustRightInd w:val="0"/>
        <w:spacing w:after="0" w:line="360" w:lineRule="auto"/>
        <w:jc w:val="both"/>
        <w:rPr>
          <w:rFonts w:ascii="Times New Roman" w:hAnsi="Times New Roman" w:cs="Times New Roman"/>
          <w:sz w:val="24"/>
          <w:szCs w:val="24"/>
        </w:rPr>
      </w:pPr>
      <w:r w:rsidRPr="008D0CBA">
        <w:rPr>
          <w:rFonts w:ascii="Times New Roman" w:hAnsi="Times New Roman" w:cs="Times New Roman"/>
          <w:sz w:val="24"/>
          <w:szCs w:val="24"/>
        </w:rPr>
        <w:t xml:space="preserve">Having surveyed several recent NTTs, </w:t>
      </w:r>
      <w:r w:rsidR="009A6AD7">
        <w:rPr>
          <w:rFonts w:ascii="Times New Roman" w:hAnsi="Times New Roman" w:cs="Times New Roman"/>
          <w:sz w:val="24"/>
          <w:szCs w:val="24"/>
        </w:rPr>
        <w:t>Wendel Sun</w:t>
      </w:r>
      <w:r w:rsidRPr="008D0CBA">
        <w:rPr>
          <w:rFonts w:ascii="Times New Roman" w:hAnsi="Times New Roman" w:cs="Times New Roman"/>
          <w:sz w:val="24"/>
          <w:szCs w:val="24"/>
        </w:rPr>
        <w:t xml:space="preserve"> </w:t>
      </w:r>
      <w:r w:rsidR="009A6AD7">
        <w:rPr>
          <w:rFonts w:ascii="Times New Roman" w:hAnsi="Times New Roman" w:cs="Times New Roman"/>
          <w:sz w:val="24"/>
          <w:szCs w:val="24"/>
        </w:rPr>
        <w:t>has these to contribute;</w:t>
      </w:r>
      <w:r w:rsidRPr="008D0CBA">
        <w:rPr>
          <w:rFonts w:ascii="Times New Roman" w:hAnsi="Times New Roman" w:cs="Times New Roman"/>
          <w:sz w:val="24"/>
          <w:szCs w:val="24"/>
        </w:rPr>
        <w:t xml:space="preserve"> </w:t>
      </w:r>
    </w:p>
    <w:p w:rsidR="00EE168C" w:rsidRPr="008D0CBA" w:rsidRDefault="00EE168C" w:rsidP="00E81A3E">
      <w:pPr>
        <w:autoSpaceDE w:val="0"/>
        <w:autoSpaceDN w:val="0"/>
        <w:adjustRightInd w:val="0"/>
        <w:spacing w:after="0" w:line="360" w:lineRule="auto"/>
        <w:jc w:val="both"/>
        <w:rPr>
          <w:rFonts w:ascii="Times New Roman" w:hAnsi="Times New Roman" w:cs="Times New Roman"/>
          <w:sz w:val="24"/>
          <w:szCs w:val="24"/>
        </w:rPr>
      </w:pPr>
      <w:r w:rsidRPr="008D0CBA">
        <w:rPr>
          <w:rFonts w:ascii="Times New Roman" w:hAnsi="Times New Roman" w:cs="Times New Roman"/>
          <w:i/>
          <w:iCs/>
          <w:sz w:val="24"/>
          <w:szCs w:val="24"/>
        </w:rPr>
        <w:t xml:space="preserve">Approaches to NTT. </w:t>
      </w:r>
      <w:r w:rsidRPr="008D0CBA">
        <w:rPr>
          <w:rFonts w:ascii="Times New Roman" w:hAnsi="Times New Roman" w:cs="Times New Roman"/>
          <w:sz w:val="24"/>
          <w:szCs w:val="24"/>
        </w:rPr>
        <w:t xml:space="preserve">While there is no one “right” way to do NTT, some approaches are better than others. </w:t>
      </w:r>
      <w:r w:rsidR="009A6AD7">
        <w:rPr>
          <w:rFonts w:ascii="Times New Roman" w:hAnsi="Times New Roman" w:cs="Times New Roman"/>
          <w:sz w:val="24"/>
          <w:szCs w:val="24"/>
        </w:rPr>
        <w:t xml:space="preserve">The </w:t>
      </w:r>
      <w:r w:rsidR="00E81A3E">
        <w:rPr>
          <w:rFonts w:ascii="Times New Roman" w:hAnsi="Times New Roman" w:cs="Times New Roman"/>
          <w:sz w:val="24"/>
          <w:szCs w:val="24"/>
        </w:rPr>
        <w:t>more important</w:t>
      </w:r>
      <w:r w:rsidRPr="008D0CBA">
        <w:rPr>
          <w:rFonts w:ascii="Times New Roman" w:hAnsi="Times New Roman" w:cs="Times New Roman"/>
          <w:sz w:val="24"/>
          <w:szCs w:val="24"/>
        </w:rPr>
        <w:t xml:space="preserve"> question will be how to understand the unity of the NT in rela</w:t>
      </w:r>
      <w:r w:rsidR="00E81A3E">
        <w:rPr>
          <w:rFonts w:ascii="Times New Roman" w:hAnsi="Times New Roman" w:cs="Times New Roman"/>
          <w:sz w:val="24"/>
          <w:szCs w:val="24"/>
        </w:rPr>
        <w:t>tion to its internal diversity.</w:t>
      </w:r>
    </w:p>
    <w:p w:rsidR="00E81A3E" w:rsidRDefault="00EE168C" w:rsidP="008D0CBA">
      <w:pPr>
        <w:autoSpaceDE w:val="0"/>
        <w:autoSpaceDN w:val="0"/>
        <w:adjustRightInd w:val="0"/>
        <w:spacing w:after="0" w:line="360" w:lineRule="auto"/>
        <w:jc w:val="both"/>
        <w:rPr>
          <w:rFonts w:ascii="Times New Roman" w:hAnsi="Times New Roman" w:cs="Times New Roman"/>
          <w:sz w:val="24"/>
          <w:szCs w:val="24"/>
        </w:rPr>
      </w:pPr>
      <w:r w:rsidRPr="008D0CBA">
        <w:rPr>
          <w:rFonts w:ascii="Times New Roman" w:hAnsi="Times New Roman" w:cs="Times New Roman"/>
          <w:i/>
          <w:iCs/>
          <w:sz w:val="24"/>
          <w:szCs w:val="24"/>
        </w:rPr>
        <w:t xml:space="preserve">Exegesis and Theology. </w:t>
      </w:r>
      <w:r w:rsidR="00E81A3E">
        <w:rPr>
          <w:rFonts w:ascii="Times New Roman" w:hAnsi="Times New Roman" w:cs="Times New Roman"/>
          <w:sz w:val="24"/>
          <w:szCs w:val="24"/>
        </w:rPr>
        <w:t>As follow up to the</w:t>
      </w:r>
      <w:r w:rsidRPr="008D0CBA">
        <w:rPr>
          <w:rFonts w:ascii="Times New Roman" w:hAnsi="Times New Roman" w:cs="Times New Roman"/>
          <w:sz w:val="24"/>
          <w:szCs w:val="24"/>
        </w:rPr>
        <w:t xml:space="preserve"> approach taken, </w:t>
      </w:r>
      <w:r w:rsidR="00E81A3E">
        <w:rPr>
          <w:rFonts w:ascii="Times New Roman" w:hAnsi="Times New Roman" w:cs="Times New Roman"/>
          <w:sz w:val="24"/>
          <w:szCs w:val="24"/>
        </w:rPr>
        <w:t>i</w:t>
      </w:r>
      <w:r w:rsidRPr="008D0CBA">
        <w:rPr>
          <w:rFonts w:ascii="Times New Roman" w:hAnsi="Times New Roman" w:cs="Times New Roman"/>
          <w:sz w:val="24"/>
          <w:szCs w:val="24"/>
        </w:rPr>
        <w:t xml:space="preserve">n order for a work of NTT to be taken seriously, the exegetical support for its theological conclusions must be demonstrated. Exegetical work can be tedious for both the writer and the reader, but the payoff is worth the effort. This need not mean that NTT becomes nothing more than commentary. Instead, the fruits of exegesis can be expressed in engaging ways. </w:t>
      </w:r>
    </w:p>
    <w:p w:rsidR="00EE168C" w:rsidRPr="008D0CBA" w:rsidRDefault="00EE168C" w:rsidP="008D0CBA">
      <w:pPr>
        <w:autoSpaceDE w:val="0"/>
        <w:autoSpaceDN w:val="0"/>
        <w:adjustRightInd w:val="0"/>
        <w:spacing w:after="0" w:line="360" w:lineRule="auto"/>
        <w:jc w:val="both"/>
        <w:rPr>
          <w:rFonts w:ascii="Times New Roman" w:hAnsi="Times New Roman" w:cs="Times New Roman"/>
          <w:sz w:val="24"/>
          <w:szCs w:val="24"/>
        </w:rPr>
      </w:pPr>
      <w:r w:rsidRPr="008D0CBA">
        <w:rPr>
          <w:rFonts w:ascii="Times New Roman" w:hAnsi="Times New Roman" w:cs="Times New Roman"/>
          <w:i/>
          <w:iCs/>
          <w:sz w:val="24"/>
          <w:szCs w:val="24"/>
        </w:rPr>
        <w:t xml:space="preserve">History and Theology. </w:t>
      </w:r>
      <w:r w:rsidRPr="008D0CBA">
        <w:rPr>
          <w:rFonts w:ascii="Times New Roman" w:hAnsi="Times New Roman" w:cs="Times New Roman"/>
          <w:sz w:val="24"/>
          <w:szCs w:val="24"/>
        </w:rPr>
        <w:t xml:space="preserve">In spite of the call of Räisänen and others for the strictly historical study of the NT, it seems that NTT has been successfully defended as a legitimate field of study. Nevertheless, this cannot mean a complete disregard for historical research. </w:t>
      </w:r>
      <w:r w:rsidR="00E81A3E" w:rsidRPr="008D0CBA">
        <w:rPr>
          <w:rFonts w:ascii="Times New Roman" w:hAnsi="Times New Roman" w:cs="Times New Roman"/>
          <w:sz w:val="24"/>
          <w:szCs w:val="24"/>
        </w:rPr>
        <w:t xml:space="preserve">Seeking to understand the theology of the </w:t>
      </w:r>
      <w:r w:rsidR="00F23147" w:rsidRPr="008D0CBA">
        <w:rPr>
          <w:rFonts w:ascii="Times New Roman" w:hAnsi="Times New Roman" w:cs="Times New Roman"/>
          <w:sz w:val="24"/>
          <w:szCs w:val="24"/>
        </w:rPr>
        <w:t xml:space="preserve">NT </w:t>
      </w:r>
      <w:r w:rsidR="00F23147">
        <w:rPr>
          <w:rFonts w:ascii="Times New Roman" w:hAnsi="Times New Roman" w:cs="Times New Roman"/>
          <w:sz w:val="24"/>
          <w:szCs w:val="24"/>
        </w:rPr>
        <w:t>needs</w:t>
      </w:r>
      <w:r w:rsidRPr="008D0CBA">
        <w:rPr>
          <w:rFonts w:ascii="Times New Roman" w:hAnsi="Times New Roman" w:cs="Times New Roman"/>
          <w:sz w:val="24"/>
          <w:szCs w:val="24"/>
        </w:rPr>
        <w:t xml:space="preserve"> canonical approaches </w:t>
      </w:r>
      <w:r w:rsidR="00E81A3E">
        <w:rPr>
          <w:rFonts w:ascii="Times New Roman" w:hAnsi="Times New Roman" w:cs="Times New Roman"/>
          <w:sz w:val="24"/>
          <w:szCs w:val="24"/>
        </w:rPr>
        <w:t>for</w:t>
      </w:r>
      <w:r w:rsidRPr="008D0CBA">
        <w:rPr>
          <w:rFonts w:ascii="Times New Roman" w:hAnsi="Times New Roman" w:cs="Times New Roman"/>
          <w:sz w:val="24"/>
          <w:szCs w:val="24"/>
        </w:rPr>
        <w:t xml:space="preserve"> understanding the</w:t>
      </w:r>
      <w:r w:rsidR="00E81A3E">
        <w:rPr>
          <w:rFonts w:ascii="Times New Roman" w:hAnsi="Times New Roman" w:cs="Times New Roman"/>
          <w:sz w:val="24"/>
          <w:szCs w:val="24"/>
        </w:rPr>
        <w:t xml:space="preserve"> </w:t>
      </w:r>
      <w:r w:rsidRPr="008D0CBA">
        <w:rPr>
          <w:rFonts w:ascii="Times New Roman" w:hAnsi="Times New Roman" w:cs="Times New Roman"/>
          <w:sz w:val="24"/>
          <w:szCs w:val="24"/>
        </w:rPr>
        <w:t xml:space="preserve">intended meaning of a given text in its biblical context, even </w:t>
      </w:r>
      <w:r w:rsidR="00E81A3E">
        <w:rPr>
          <w:rFonts w:ascii="Times New Roman" w:hAnsi="Times New Roman" w:cs="Times New Roman"/>
          <w:sz w:val="24"/>
          <w:szCs w:val="24"/>
        </w:rPr>
        <w:t xml:space="preserve">though </w:t>
      </w:r>
      <w:r w:rsidRPr="008D0CBA">
        <w:rPr>
          <w:rFonts w:ascii="Times New Roman" w:hAnsi="Times New Roman" w:cs="Times New Roman"/>
          <w:sz w:val="24"/>
          <w:szCs w:val="24"/>
        </w:rPr>
        <w:t>a strictly canonical approach cannot</w:t>
      </w:r>
      <w:r w:rsidR="00E81A3E">
        <w:rPr>
          <w:rFonts w:ascii="Times New Roman" w:hAnsi="Times New Roman" w:cs="Times New Roman"/>
          <w:sz w:val="24"/>
          <w:szCs w:val="24"/>
        </w:rPr>
        <w:t xml:space="preserve"> ignore the historical context.</w:t>
      </w:r>
    </w:p>
    <w:p w:rsidR="00EE168C" w:rsidRPr="008D0CBA" w:rsidRDefault="00EE168C" w:rsidP="008D0CBA">
      <w:pPr>
        <w:autoSpaceDE w:val="0"/>
        <w:autoSpaceDN w:val="0"/>
        <w:adjustRightInd w:val="0"/>
        <w:spacing w:after="0" w:line="360" w:lineRule="auto"/>
        <w:jc w:val="both"/>
        <w:rPr>
          <w:rFonts w:ascii="Times New Roman" w:hAnsi="Times New Roman" w:cs="Times New Roman"/>
          <w:sz w:val="24"/>
          <w:szCs w:val="24"/>
        </w:rPr>
      </w:pPr>
      <w:r w:rsidRPr="008D0CBA">
        <w:rPr>
          <w:rFonts w:ascii="Times New Roman" w:hAnsi="Times New Roman" w:cs="Times New Roman"/>
          <w:i/>
          <w:iCs/>
          <w:sz w:val="24"/>
          <w:szCs w:val="24"/>
        </w:rPr>
        <w:t xml:space="preserve">Narrative and Theology. </w:t>
      </w:r>
      <w:r w:rsidR="00F23147" w:rsidRPr="008D0CBA">
        <w:rPr>
          <w:rFonts w:ascii="Times New Roman" w:hAnsi="Times New Roman" w:cs="Times New Roman"/>
          <w:sz w:val="24"/>
          <w:szCs w:val="24"/>
        </w:rPr>
        <w:t>NTTs need to be able to demonstrate the unity of the NT through accurate exegetical work that does not blunt its diversity, finding its theological cohesiveness in its broad storyline. This would benefit the academy and also the church.</w:t>
      </w:r>
      <w:r w:rsidR="00F23147">
        <w:rPr>
          <w:rFonts w:ascii="Times New Roman" w:hAnsi="Times New Roman" w:cs="Times New Roman"/>
          <w:sz w:val="24"/>
          <w:szCs w:val="24"/>
        </w:rPr>
        <w:t xml:space="preserve"> </w:t>
      </w:r>
      <w:r w:rsidRPr="008D0CBA">
        <w:rPr>
          <w:rFonts w:ascii="Times New Roman" w:hAnsi="Times New Roman" w:cs="Times New Roman"/>
          <w:sz w:val="24"/>
          <w:szCs w:val="24"/>
        </w:rPr>
        <w:t>This would also pave the way for further work in whole-Bible biblical theology. This</w:t>
      </w:r>
      <w:r w:rsidR="00F23147">
        <w:rPr>
          <w:rFonts w:ascii="Times New Roman" w:hAnsi="Times New Roman" w:cs="Times New Roman"/>
          <w:sz w:val="24"/>
          <w:szCs w:val="24"/>
        </w:rPr>
        <w:t xml:space="preserve"> </w:t>
      </w:r>
      <w:r w:rsidRPr="008D0CBA">
        <w:rPr>
          <w:rFonts w:ascii="Times New Roman" w:hAnsi="Times New Roman" w:cs="Times New Roman"/>
          <w:sz w:val="24"/>
          <w:szCs w:val="24"/>
        </w:rPr>
        <w:t>exegetical work should be historically grounded while taking into account the canonical context of each NT book and giving careful attention to the use of the OT in the NT. A successful NTT would also engage opposing scholars on exegetical r</w:t>
      </w:r>
      <w:r w:rsidR="00F23147">
        <w:rPr>
          <w:rFonts w:ascii="Times New Roman" w:hAnsi="Times New Roman" w:cs="Times New Roman"/>
          <w:sz w:val="24"/>
          <w:szCs w:val="24"/>
        </w:rPr>
        <w:t>ather than theological grounds which readily fits into modern cultures.</w:t>
      </w:r>
      <w:bookmarkStart w:id="0" w:name="_GoBack"/>
      <w:bookmarkEnd w:id="0"/>
    </w:p>
    <w:p w:rsidR="00F23147" w:rsidRPr="008D0CBA" w:rsidRDefault="00F23147">
      <w:pPr>
        <w:autoSpaceDE w:val="0"/>
        <w:autoSpaceDN w:val="0"/>
        <w:adjustRightInd w:val="0"/>
        <w:spacing w:after="0" w:line="360" w:lineRule="auto"/>
        <w:jc w:val="both"/>
        <w:rPr>
          <w:rFonts w:ascii="Times New Roman" w:hAnsi="Times New Roman" w:cs="Times New Roman"/>
          <w:sz w:val="24"/>
          <w:szCs w:val="24"/>
        </w:rPr>
      </w:pPr>
    </w:p>
    <w:sectPr w:rsidR="00F23147" w:rsidRPr="008D0C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6E"/>
    <w:rsid w:val="002410B5"/>
    <w:rsid w:val="002A1CC3"/>
    <w:rsid w:val="00482708"/>
    <w:rsid w:val="004D75A1"/>
    <w:rsid w:val="005717EA"/>
    <w:rsid w:val="005A54DC"/>
    <w:rsid w:val="007C4EAE"/>
    <w:rsid w:val="008D0CBA"/>
    <w:rsid w:val="0092078B"/>
    <w:rsid w:val="009A6AD7"/>
    <w:rsid w:val="009D0CCD"/>
    <w:rsid w:val="00AC5E6E"/>
    <w:rsid w:val="00B41A78"/>
    <w:rsid w:val="00C35D0C"/>
    <w:rsid w:val="00C675BF"/>
    <w:rsid w:val="00CB6893"/>
    <w:rsid w:val="00D046BE"/>
    <w:rsid w:val="00DE0CD4"/>
    <w:rsid w:val="00E059C7"/>
    <w:rsid w:val="00E81A3E"/>
    <w:rsid w:val="00EE168C"/>
    <w:rsid w:val="00F23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052DC"/>
  <w15:chartTrackingRefBased/>
  <w15:docId w15:val="{7A1210A4-A2D2-426C-A1D1-1DF83C190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620</TotalTime>
  <Pages>2</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 Obiorah</dc:creator>
  <cp:keywords/>
  <dc:description/>
  <cp:lastModifiedBy>clemen Obiorah</cp:lastModifiedBy>
  <cp:revision>7</cp:revision>
  <dcterms:created xsi:type="dcterms:W3CDTF">2020-11-25T12:37:00Z</dcterms:created>
  <dcterms:modified xsi:type="dcterms:W3CDTF">2020-11-25T22:58:00Z</dcterms:modified>
</cp:coreProperties>
</file>