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31C" w:rsidRPr="007C5E5F" w:rsidRDefault="00971662" w:rsidP="007C5E5F">
      <w:pPr>
        <w:spacing w:line="480" w:lineRule="auto"/>
        <w:ind w:left="360"/>
        <w:jc w:val="both"/>
        <w:rPr>
          <w:rFonts w:ascii="Times New Roman" w:hAnsi="Times New Roman" w:cs="Times New Roman"/>
          <w:b/>
          <w:sz w:val="24"/>
          <w:szCs w:val="24"/>
          <w:lang w:val="en-GB"/>
        </w:rPr>
      </w:pPr>
      <w:proofErr w:type="spellStart"/>
      <w:proofErr w:type="gramStart"/>
      <w:r>
        <w:rPr>
          <w:rFonts w:ascii="Times New Roman" w:hAnsi="Times New Roman" w:cs="Times New Roman"/>
          <w:b/>
          <w:sz w:val="24"/>
          <w:szCs w:val="24"/>
          <w:lang w:val="en-GB"/>
        </w:rPr>
        <w:t>Matric</w:t>
      </w:r>
      <w:proofErr w:type="spellEnd"/>
      <w:r>
        <w:rPr>
          <w:rFonts w:ascii="Times New Roman" w:hAnsi="Times New Roman" w:cs="Times New Roman"/>
          <w:b/>
          <w:sz w:val="24"/>
          <w:szCs w:val="24"/>
          <w:lang w:val="en-GB"/>
        </w:rPr>
        <w:t>.</w:t>
      </w:r>
      <w:proofErr w:type="gramEnd"/>
      <w:r>
        <w:rPr>
          <w:rFonts w:ascii="Times New Roman" w:hAnsi="Times New Roman" w:cs="Times New Roman"/>
          <w:b/>
          <w:sz w:val="24"/>
          <w:szCs w:val="24"/>
          <w:lang w:val="en-GB"/>
        </w:rPr>
        <w:t xml:space="preserve"> Number</w:t>
      </w:r>
      <w:r w:rsidR="007C5E5F">
        <w:rPr>
          <w:rFonts w:ascii="Times New Roman" w:hAnsi="Times New Roman" w:cs="Times New Roman"/>
          <w:b/>
          <w:sz w:val="24"/>
          <w:szCs w:val="24"/>
          <w:lang w:val="en-GB"/>
        </w:rPr>
        <w:t>: DI/845</w:t>
      </w:r>
    </w:p>
    <w:p w:rsidR="00BE5045" w:rsidRPr="009E5363" w:rsidRDefault="00BE5045" w:rsidP="009E5363">
      <w:pPr>
        <w:pStyle w:val="ListParagraph"/>
        <w:numPr>
          <w:ilvl w:val="0"/>
          <w:numId w:val="2"/>
        </w:numPr>
        <w:spacing w:line="480" w:lineRule="auto"/>
        <w:jc w:val="both"/>
        <w:rPr>
          <w:rFonts w:ascii="Times New Roman" w:hAnsi="Times New Roman" w:cs="Times New Roman"/>
          <w:sz w:val="24"/>
          <w:szCs w:val="24"/>
          <w:lang w:val="en-GB"/>
        </w:rPr>
      </w:pPr>
      <w:r w:rsidRPr="009E5363">
        <w:rPr>
          <w:rFonts w:ascii="Times New Roman" w:hAnsi="Times New Roman" w:cs="Times New Roman"/>
          <w:b/>
          <w:sz w:val="24"/>
          <w:szCs w:val="24"/>
          <w:lang w:val="en-GB"/>
        </w:rPr>
        <w:t xml:space="preserve">"The New Testament Theology" is the title of some academic syllabi (courses). Does it exist? </w:t>
      </w:r>
    </w:p>
    <w:p w:rsidR="00BF101B" w:rsidRPr="009E5363" w:rsidRDefault="007042D9" w:rsidP="00656FFE">
      <w:pPr>
        <w:spacing w:line="480" w:lineRule="auto"/>
        <w:ind w:firstLine="360"/>
        <w:jc w:val="both"/>
        <w:rPr>
          <w:rFonts w:ascii="Times New Roman" w:hAnsi="Times New Roman" w:cs="Times New Roman"/>
          <w:sz w:val="24"/>
          <w:szCs w:val="24"/>
          <w:lang w:val="en-GB"/>
        </w:rPr>
      </w:pPr>
      <w:r w:rsidRPr="009E5363">
        <w:rPr>
          <w:rFonts w:ascii="Times New Roman" w:hAnsi="Times New Roman" w:cs="Times New Roman"/>
          <w:sz w:val="24"/>
          <w:szCs w:val="24"/>
          <w:lang w:val="en-GB"/>
        </w:rPr>
        <w:t xml:space="preserve">The process which led to a New Testament theology was exclusively protestant. Catholic interest in New Testament theology was stimulated by the encyclical </w:t>
      </w:r>
      <w:r w:rsidRPr="009E5363">
        <w:rPr>
          <w:rFonts w:ascii="Times New Roman" w:hAnsi="Times New Roman" w:cs="Times New Roman"/>
          <w:i/>
          <w:sz w:val="24"/>
          <w:szCs w:val="24"/>
          <w:lang w:val="en-GB"/>
        </w:rPr>
        <w:t>Divina Afflante Spiritu</w:t>
      </w:r>
      <w:r w:rsidRPr="009E5363">
        <w:rPr>
          <w:rFonts w:ascii="Times New Roman" w:hAnsi="Times New Roman" w:cs="Times New Roman"/>
          <w:sz w:val="24"/>
          <w:szCs w:val="24"/>
          <w:lang w:val="en-GB"/>
        </w:rPr>
        <w:t xml:space="preserve"> (1943) which called for works on the theological content of the individual passages and books. </w:t>
      </w:r>
      <w:r w:rsidR="00BF101B" w:rsidRPr="009E5363">
        <w:rPr>
          <w:rFonts w:ascii="Times New Roman" w:hAnsi="Times New Roman" w:cs="Times New Roman"/>
          <w:sz w:val="24"/>
          <w:szCs w:val="24"/>
          <w:lang w:val="en-GB"/>
        </w:rPr>
        <w:t>New Testament theology as a distinct area of inquiry, emerge only with the</w:t>
      </w:r>
      <w:r w:rsidR="00214D01" w:rsidRPr="009E5363">
        <w:rPr>
          <w:rFonts w:ascii="Times New Roman" w:hAnsi="Times New Roman" w:cs="Times New Roman"/>
          <w:sz w:val="24"/>
          <w:szCs w:val="24"/>
          <w:lang w:val="en-GB"/>
        </w:rPr>
        <w:t xml:space="preserve"> rise of historical criticism. </w:t>
      </w:r>
      <w:r w:rsidR="009F5967" w:rsidRPr="009E5363">
        <w:rPr>
          <w:rFonts w:ascii="Times New Roman" w:hAnsi="Times New Roman" w:cs="Times New Roman"/>
          <w:sz w:val="24"/>
          <w:szCs w:val="24"/>
          <w:lang w:val="en-GB"/>
        </w:rPr>
        <w:t xml:space="preserve"> </w:t>
      </w:r>
      <w:r w:rsidR="009E5363">
        <w:rPr>
          <w:rFonts w:ascii="Times New Roman" w:hAnsi="Times New Roman" w:cs="Times New Roman"/>
          <w:sz w:val="24"/>
          <w:szCs w:val="24"/>
          <w:lang w:val="en-GB"/>
        </w:rPr>
        <w:t>S</w:t>
      </w:r>
      <w:r w:rsidR="009F5967" w:rsidRPr="009E5363">
        <w:rPr>
          <w:rFonts w:ascii="Times New Roman" w:hAnsi="Times New Roman" w:cs="Times New Roman"/>
          <w:sz w:val="24"/>
          <w:szCs w:val="24"/>
          <w:lang w:val="en-GB"/>
        </w:rPr>
        <w:t>ome scholars</w:t>
      </w:r>
      <w:r w:rsidR="009E5363">
        <w:rPr>
          <w:rFonts w:ascii="Times New Roman" w:hAnsi="Times New Roman" w:cs="Times New Roman"/>
          <w:sz w:val="24"/>
          <w:szCs w:val="24"/>
          <w:lang w:val="en-GB"/>
        </w:rPr>
        <w:t>, therefore,</w:t>
      </w:r>
      <w:r w:rsidR="009F5967" w:rsidRPr="009E5363">
        <w:rPr>
          <w:rFonts w:ascii="Times New Roman" w:hAnsi="Times New Roman" w:cs="Times New Roman"/>
          <w:sz w:val="24"/>
          <w:szCs w:val="24"/>
          <w:lang w:val="en-GB"/>
        </w:rPr>
        <w:t xml:space="preserve"> say that New Testament theology is concerned with something </w:t>
      </w:r>
      <w:r w:rsidR="009F5967" w:rsidRPr="009E5363">
        <w:rPr>
          <w:rFonts w:ascii="Times New Roman" w:hAnsi="Times New Roman" w:cs="Times New Roman"/>
          <w:i/>
          <w:sz w:val="24"/>
          <w:szCs w:val="24"/>
          <w:lang w:val="en-GB"/>
        </w:rPr>
        <w:t>outside the text</w:t>
      </w:r>
      <w:r w:rsidR="009F5967" w:rsidRPr="009E5363">
        <w:rPr>
          <w:rFonts w:ascii="Times New Roman" w:hAnsi="Times New Roman" w:cs="Times New Roman"/>
          <w:sz w:val="24"/>
          <w:szCs w:val="24"/>
          <w:lang w:val="en-GB"/>
        </w:rPr>
        <w:t xml:space="preserve"> (the text becomes the access to the real subject matter of New Testament theology). </w:t>
      </w:r>
      <w:r w:rsidR="009E5363">
        <w:rPr>
          <w:rFonts w:ascii="Times New Roman" w:hAnsi="Times New Roman" w:cs="Times New Roman"/>
          <w:sz w:val="24"/>
          <w:szCs w:val="24"/>
          <w:lang w:val="en-GB"/>
        </w:rPr>
        <w:t>For</w:t>
      </w:r>
      <w:r w:rsidR="009F5967" w:rsidRPr="009E5363">
        <w:rPr>
          <w:rFonts w:ascii="Times New Roman" w:hAnsi="Times New Roman" w:cs="Times New Roman"/>
          <w:sz w:val="24"/>
          <w:szCs w:val="24"/>
          <w:lang w:val="en-GB"/>
        </w:rPr>
        <w:t xml:space="preserve"> William Wrede: the proper subject of New Testament theology is the history of early Christian religion and theology (what they b</w:t>
      </w:r>
      <w:r w:rsidR="00260E17">
        <w:rPr>
          <w:rFonts w:ascii="Times New Roman" w:hAnsi="Times New Roman" w:cs="Times New Roman"/>
          <w:sz w:val="24"/>
          <w:szCs w:val="24"/>
          <w:lang w:val="en-GB"/>
        </w:rPr>
        <w:t>elieved, hoped for, and taught), and</w:t>
      </w:r>
      <w:r w:rsidR="009F5967" w:rsidRPr="009E5363">
        <w:rPr>
          <w:rFonts w:ascii="Times New Roman" w:hAnsi="Times New Roman" w:cs="Times New Roman"/>
          <w:sz w:val="24"/>
          <w:szCs w:val="24"/>
          <w:lang w:val="en-GB"/>
        </w:rPr>
        <w:t xml:space="preserve"> For Oscar Culmann: New Testament Theology focuses on the content and significance of the mission of the historical Jesus. </w:t>
      </w:r>
      <w:r w:rsidR="00EF76F7" w:rsidRPr="009E5363">
        <w:rPr>
          <w:rFonts w:ascii="Times New Roman" w:hAnsi="Times New Roman" w:cs="Times New Roman"/>
          <w:sz w:val="24"/>
          <w:szCs w:val="24"/>
          <w:lang w:val="en-GB"/>
        </w:rPr>
        <w:t xml:space="preserve">As an independent discipline, it is an attempt to reflect methodologically upon the revelation of Jesus Christ as attested in the New Testament, and upon the faith which is a response to it. It uses method of scientific history. The primary task of New Testament theology consist in isolating and describing in appropriate terms the theological contents of a particular writings or group of writings. </w:t>
      </w:r>
      <w:r w:rsidR="00BF101B" w:rsidRPr="009E5363">
        <w:rPr>
          <w:rFonts w:ascii="Times New Roman" w:hAnsi="Times New Roman" w:cs="Times New Roman"/>
          <w:sz w:val="24"/>
          <w:szCs w:val="24"/>
          <w:lang w:val="en-GB"/>
        </w:rPr>
        <w:t xml:space="preserve">Wrede argued vigorously that </w:t>
      </w:r>
      <w:r w:rsidR="008F0008" w:rsidRPr="009E5363">
        <w:rPr>
          <w:rFonts w:ascii="Times New Roman" w:hAnsi="Times New Roman" w:cs="Times New Roman"/>
          <w:sz w:val="24"/>
          <w:szCs w:val="24"/>
          <w:lang w:val="en-GB"/>
        </w:rPr>
        <w:t xml:space="preserve">New Testament </w:t>
      </w:r>
      <w:r w:rsidR="00BF101B" w:rsidRPr="009E5363">
        <w:rPr>
          <w:rFonts w:ascii="Times New Roman" w:hAnsi="Times New Roman" w:cs="Times New Roman"/>
          <w:sz w:val="24"/>
          <w:szCs w:val="24"/>
          <w:lang w:val="en-GB"/>
        </w:rPr>
        <w:t xml:space="preserve">theology is a purely historical discipline, designed to disclose only the religion of the biblical authors. Schlatter, while recognizing the demands and limitations of historical criticism, stressed the normative quality of </w:t>
      </w:r>
      <w:r w:rsidR="008F0008" w:rsidRPr="009E5363">
        <w:rPr>
          <w:rFonts w:ascii="Times New Roman" w:hAnsi="Times New Roman" w:cs="Times New Roman"/>
          <w:sz w:val="24"/>
          <w:szCs w:val="24"/>
          <w:lang w:val="en-GB"/>
        </w:rPr>
        <w:t xml:space="preserve">New Testament </w:t>
      </w:r>
      <w:r w:rsidR="00BF101B" w:rsidRPr="009E5363">
        <w:rPr>
          <w:rFonts w:ascii="Times New Roman" w:hAnsi="Times New Roman" w:cs="Times New Roman"/>
          <w:sz w:val="24"/>
          <w:szCs w:val="24"/>
          <w:lang w:val="en-GB"/>
        </w:rPr>
        <w:t xml:space="preserve">theology by arguing that history itself became the medium of revelation and by postulating </w:t>
      </w:r>
      <w:proofErr w:type="gramStart"/>
      <w:r w:rsidR="00BF101B" w:rsidRPr="009E5363">
        <w:rPr>
          <w:rFonts w:ascii="Times New Roman" w:hAnsi="Times New Roman" w:cs="Times New Roman"/>
          <w:sz w:val="24"/>
          <w:szCs w:val="24"/>
          <w:lang w:val="en-GB"/>
        </w:rPr>
        <w:t>a</w:t>
      </w:r>
      <w:proofErr w:type="gramEnd"/>
      <w:r w:rsidR="00BF101B" w:rsidRPr="009E5363">
        <w:rPr>
          <w:rFonts w:ascii="Times New Roman" w:hAnsi="Times New Roman" w:cs="Times New Roman"/>
          <w:sz w:val="24"/>
          <w:szCs w:val="24"/>
          <w:lang w:val="en-GB"/>
        </w:rPr>
        <w:t xml:space="preserve"> Christological center to the </w:t>
      </w:r>
      <w:r w:rsidR="008F0008" w:rsidRPr="009E5363">
        <w:rPr>
          <w:rFonts w:ascii="Times New Roman" w:hAnsi="Times New Roman" w:cs="Times New Roman"/>
          <w:sz w:val="24"/>
          <w:szCs w:val="24"/>
          <w:lang w:val="en-GB"/>
        </w:rPr>
        <w:t>New Testament</w:t>
      </w:r>
      <w:r w:rsidRPr="009E5363">
        <w:rPr>
          <w:rFonts w:ascii="Times New Roman" w:hAnsi="Times New Roman" w:cs="Times New Roman"/>
          <w:sz w:val="24"/>
          <w:szCs w:val="24"/>
          <w:lang w:val="en-GB"/>
        </w:rPr>
        <w:t xml:space="preserve"> writings.</w:t>
      </w:r>
      <w:r w:rsidR="00BF101B" w:rsidRPr="009E5363">
        <w:rPr>
          <w:rFonts w:ascii="Times New Roman" w:hAnsi="Times New Roman" w:cs="Times New Roman"/>
          <w:sz w:val="24"/>
          <w:szCs w:val="24"/>
          <w:lang w:val="en-GB"/>
        </w:rPr>
        <w:t xml:space="preserve"> In addition to the tension between purely historical description and normative </w:t>
      </w:r>
      <w:r w:rsidR="00BF101B" w:rsidRPr="009E5363">
        <w:rPr>
          <w:rFonts w:ascii="Times New Roman" w:hAnsi="Times New Roman" w:cs="Times New Roman"/>
          <w:sz w:val="24"/>
          <w:szCs w:val="24"/>
          <w:lang w:val="en-GB"/>
        </w:rPr>
        <w:lastRenderedPageBreak/>
        <w:t xml:space="preserve">interpretation, a number of other issues make </w:t>
      </w:r>
      <w:r w:rsidR="008F0008" w:rsidRPr="009E5363">
        <w:rPr>
          <w:rFonts w:ascii="Times New Roman" w:hAnsi="Times New Roman" w:cs="Times New Roman"/>
          <w:sz w:val="24"/>
          <w:szCs w:val="24"/>
          <w:lang w:val="en-GB"/>
        </w:rPr>
        <w:t xml:space="preserve">New Testament </w:t>
      </w:r>
      <w:r w:rsidR="00BF101B" w:rsidRPr="009E5363">
        <w:rPr>
          <w:rFonts w:ascii="Times New Roman" w:hAnsi="Times New Roman" w:cs="Times New Roman"/>
          <w:sz w:val="24"/>
          <w:szCs w:val="24"/>
          <w:lang w:val="en-GB"/>
        </w:rPr>
        <w:t>theology a sometimes elusive enterprise.</w:t>
      </w:r>
      <w:r w:rsidR="004511F3" w:rsidRPr="009E5363">
        <w:rPr>
          <w:rFonts w:ascii="Times New Roman" w:hAnsi="Times New Roman" w:cs="Times New Roman"/>
          <w:sz w:val="24"/>
          <w:szCs w:val="24"/>
          <w:lang w:val="en-GB"/>
        </w:rPr>
        <w:t xml:space="preserve"> </w:t>
      </w:r>
    </w:p>
    <w:p w:rsidR="00BE5045" w:rsidRPr="009E5363" w:rsidRDefault="007042D9" w:rsidP="009E5363">
      <w:pPr>
        <w:pStyle w:val="Default"/>
        <w:spacing w:line="480" w:lineRule="auto"/>
        <w:jc w:val="both"/>
        <w:rPr>
          <w:b/>
          <w:lang w:val="en-GB"/>
        </w:rPr>
      </w:pPr>
      <w:r w:rsidRPr="009E5363">
        <w:rPr>
          <w:b/>
          <w:lang w:val="en-GB"/>
        </w:rPr>
        <w:t xml:space="preserve">2. </w:t>
      </w:r>
      <w:r w:rsidR="00BE5045" w:rsidRPr="009E5363">
        <w:rPr>
          <w:b/>
          <w:lang w:val="en-GB"/>
        </w:rPr>
        <w:t xml:space="preserve">The Kingdom of God/Heaven as a common Theological theme in the Synoptic Gospels. </w:t>
      </w:r>
    </w:p>
    <w:p w:rsidR="00060821" w:rsidRDefault="00760075" w:rsidP="009603A4">
      <w:pPr>
        <w:spacing w:line="480" w:lineRule="auto"/>
        <w:ind w:firstLine="708"/>
        <w:jc w:val="both"/>
        <w:rPr>
          <w:rFonts w:ascii="Times New Roman" w:hAnsi="Times New Roman" w:cs="Times New Roman"/>
          <w:sz w:val="24"/>
          <w:szCs w:val="24"/>
          <w:lang w:val="en-GB"/>
        </w:rPr>
      </w:pPr>
      <w:r w:rsidRPr="009E5363">
        <w:rPr>
          <w:rFonts w:ascii="Times New Roman" w:hAnsi="Times New Roman" w:cs="Times New Roman"/>
          <w:sz w:val="24"/>
          <w:szCs w:val="24"/>
          <w:lang w:val="en-GB"/>
        </w:rPr>
        <w:t>The theme of “kingdom of God” is central in N</w:t>
      </w:r>
      <w:r w:rsidR="00BE5045" w:rsidRPr="009E5363">
        <w:rPr>
          <w:rFonts w:ascii="Times New Roman" w:hAnsi="Times New Roman" w:cs="Times New Roman"/>
          <w:sz w:val="24"/>
          <w:szCs w:val="24"/>
          <w:lang w:val="en-GB"/>
        </w:rPr>
        <w:t xml:space="preserve">ew </w:t>
      </w:r>
      <w:r w:rsidRPr="009E5363">
        <w:rPr>
          <w:rFonts w:ascii="Times New Roman" w:hAnsi="Times New Roman" w:cs="Times New Roman"/>
          <w:sz w:val="24"/>
          <w:szCs w:val="24"/>
          <w:lang w:val="en-GB"/>
        </w:rPr>
        <w:t>T</w:t>
      </w:r>
      <w:r w:rsidR="00BE5045" w:rsidRPr="009E5363">
        <w:rPr>
          <w:rFonts w:ascii="Times New Roman" w:hAnsi="Times New Roman" w:cs="Times New Roman"/>
          <w:sz w:val="24"/>
          <w:szCs w:val="24"/>
          <w:lang w:val="en-GB"/>
        </w:rPr>
        <w:t>estament</w:t>
      </w:r>
      <w:r w:rsidRPr="009E5363">
        <w:rPr>
          <w:rFonts w:ascii="Times New Roman" w:hAnsi="Times New Roman" w:cs="Times New Roman"/>
          <w:sz w:val="24"/>
          <w:szCs w:val="24"/>
          <w:lang w:val="en-GB"/>
        </w:rPr>
        <w:t xml:space="preserve"> theology. Literally it is an idea that underlines the rule of God over creation, over all creatures, over the kingdoms of the earth, and in a unique way, over his chosen and redeemed people.  When we go through the different N</w:t>
      </w:r>
      <w:r w:rsidR="00EE6254" w:rsidRPr="009E5363">
        <w:rPr>
          <w:rFonts w:ascii="Times New Roman" w:hAnsi="Times New Roman" w:cs="Times New Roman"/>
          <w:sz w:val="24"/>
          <w:szCs w:val="24"/>
          <w:lang w:val="en-GB"/>
        </w:rPr>
        <w:t xml:space="preserve">ew </w:t>
      </w:r>
      <w:r w:rsidRPr="009E5363">
        <w:rPr>
          <w:rFonts w:ascii="Times New Roman" w:hAnsi="Times New Roman" w:cs="Times New Roman"/>
          <w:sz w:val="24"/>
          <w:szCs w:val="24"/>
          <w:lang w:val="en-GB"/>
        </w:rPr>
        <w:t>T</w:t>
      </w:r>
      <w:r w:rsidR="00EE6254" w:rsidRPr="009E5363">
        <w:rPr>
          <w:rFonts w:ascii="Times New Roman" w:hAnsi="Times New Roman" w:cs="Times New Roman"/>
          <w:sz w:val="24"/>
          <w:szCs w:val="24"/>
          <w:lang w:val="en-GB"/>
        </w:rPr>
        <w:t>estament</w:t>
      </w:r>
      <w:r w:rsidRPr="009E5363">
        <w:rPr>
          <w:rFonts w:ascii="Times New Roman" w:hAnsi="Times New Roman" w:cs="Times New Roman"/>
          <w:sz w:val="24"/>
          <w:szCs w:val="24"/>
          <w:lang w:val="en-GB"/>
        </w:rPr>
        <w:t xml:space="preserve"> writings, it is apparent that they maintain a tension between the present fulfillment of God’s promises and the future realization of those promises. For instance in the synoptic gospels, it is remarkable that the kingdom is present in Jesus’ ministry, and yet at the same time there is a f</w:t>
      </w:r>
      <w:r w:rsidR="00B335E4" w:rsidRPr="009E5363">
        <w:rPr>
          <w:rFonts w:ascii="Times New Roman" w:hAnsi="Times New Roman" w:cs="Times New Roman"/>
          <w:sz w:val="24"/>
          <w:szCs w:val="24"/>
          <w:lang w:val="en-GB"/>
        </w:rPr>
        <w:t>uture fulfillment.  Both Matthew</w:t>
      </w:r>
      <w:r w:rsidRPr="009E5363">
        <w:rPr>
          <w:rFonts w:ascii="Times New Roman" w:hAnsi="Times New Roman" w:cs="Times New Roman"/>
          <w:sz w:val="24"/>
          <w:szCs w:val="24"/>
          <w:lang w:val="en-GB"/>
        </w:rPr>
        <w:t xml:space="preserve"> and Mark introduce Jesus’ teaching ministry with pregnant sayings about the kingdom of God (Matt 4:17; Mark 1:14-15). Jesus proclaimed the fulfillment of the good news that God would redeem his people.  But how should we understand what Jesus meant by “kingdom of God”?</w:t>
      </w:r>
      <w:r w:rsidR="00195B37" w:rsidRPr="009E5363">
        <w:rPr>
          <w:rFonts w:ascii="Times New Roman" w:hAnsi="Times New Roman" w:cs="Times New Roman"/>
          <w:sz w:val="24"/>
          <w:szCs w:val="24"/>
          <w:lang w:val="en-GB"/>
        </w:rPr>
        <w:t xml:space="preserve"> </w:t>
      </w:r>
      <w:r w:rsidRPr="009E5363">
        <w:rPr>
          <w:rFonts w:ascii="Times New Roman" w:hAnsi="Times New Roman" w:cs="Times New Roman"/>
          <w:sz w:val="24"/>
          <w:szCs w:val="24"/>
          <w:lang w:val="en-GB"/>
        </w:rPr>
        <w:t xml:space="preserve">In fact, when we go into the teaching of Jesus, we can say that he too pointed out to an end-time kingdom where God would </w:t>
      </w:r>
      <w:r w:rsidR="00D0504C" w:rsidRPr="009E5363">
        <w:rPr>
          <w:rFonts w:ascii="Times New Roman" w:hAnsi="Times New Roman" w:cs="Times New Roman"/>
          <w:sz w:val="24"/>
          <w:szCs w:val="24"/>
          <w:lang w:val="en-GB"/>
        </w:rPr>
        <w:t>fulfil</w:t>
      </w:r>
      <w:r w:rsidRPr="009E5363">
        <w:rPr>
          <w:rFonts w:ascii="Times New Roman" w:hAnsi="Times New Roman" w:cs="Times New Roman"/>
          <w:sz w:val="24"/>
          <w:szCs w:val="24"/>
          <w:lang w:val="en-GB"/>
        </w:rPr>
        <w:t xml:space="preserve"> his saving promises. This is evident from the Lord’s Prayer, in which we pray, “Your kingdom come” (Math. 6:10). Besides, Jesus speaks to his disciples of the day when he will come “in his kingdom” (Luke 23:51), which clearly refers to the future fulfillment of the kingdom promise. The coming kingdom can be described as a great end-time feast in which the righteous will rejoice but others will be cast out into the darkness (Mark 14: 25; Luke 14:15). Jesus did not believe that the kingdom had come in its fullness in his day; but he envisioned a future day when he would enjoy the Messianic banquet in God’s kingdom (Mark 14:25). The unique element in Jesus’ teaching about God’s kingdom is its presence in his ministry. With Jesus ministry on </w:t>
      </w:r>
      <w:r w:rsidRPr="009E5363">
        <w:rPr>
          <w:rFonts w:ascii="Times New Roman" w:hAnsi="Times New Roman" w:cs="Times New Roman"/>
          <w:sz w:val="24"/>
          <w:szCs w:val="24"/>
          <w:lang w:val="en-GB"/>
        </w:rPr>
        <w:lastRenderedPageBreak/>
        <w:t>earth, the O</w:t>
      </w:r>
      <w:r w:rsidR="00854994" w:rsidRPr="009E5363">
        <w:rPr>
          <w:rFonts w:ascii="Times New Roman" w:hAnsi="Times New Roman" w:cs="Times New Roman"/>
          <w:sz w:val="24"/>
          <w:szCs w:val="24"/>
          <w:lang w:val="en-GB"/>
        </w:rPr>
        <w:t xml:space="preserve">ld </w:t>
      </w:r>
      <w:r w:rsidRPr="009E5363">
        <w:rPr>
          <w:rFonts w:ascii="Times New Roman" w:hAnsi="Times New Roman" w:cs="Times New Roman"/>
          <w:sz w:val="24"/>
          <w:szCs w:val="24"/>
          <w:lang w:val="en-GB"/>
        </w:rPr>
        <w:t>T</w:t>
      </w:r>
      <w:r w:rsidR="00854994" w:rsidRPr="009E5363">
        <w:rPr>
          <w:rFonts w:ascii="Times New Roman" w:hAnsi="Times New Roman" w:cs="Times New Roman"/>
          <w:sz w:val="24"/>
          <w:szCs w:val="24"/>
          <w:lang w:val="en-GB"/>
        </w:rPr>
        <w:t>estament</w:t>
      </w:r>
      <w:r w:rsidRPr="009E5363">
        <w:rPr>
          <w:rFonts w:ascii="Times New Roman" w:hAnsi="Times New Roman" w:cs="Times New Roman"/>
          <w:sz w:val="24"/>
          <w:szCs w:val="24"/>
          <w:lang w:val="en-GB"/>
        </w:rPr>
        <w:t xml:space="preserve"> promises of a new covenant, a new creation, and a new exodus were beginning to be fulfilled. One of the most remarkable statements is found in Mathieu 12:28 when Jesus says, “But if it is by the Spirit of God that I cast out demons, then the kingdom of God has come upon you”. In this passage it </w:t>
      </w:r>
      <w:r w:rsidR="008A23A4" w:rsidRPr="009E5363">
        <w:rPr>
          <w:rFonts w:ascii="Times New Roman" w:hAnsi="Times New Roman" w:cs="Times New Roman"/>
          <w:sz w:val="24"/>
          <w:szCs w:val="24"/>
          <w:lang w:val="en-GB"/>
        </w:rPr>
        <w:t>notable</w:t>
      </w:r>
      <w:r w:rsidRPr="009E5363">
        <w:rPr>
          <w:rFonts w:ascii="Times New Roman" w:hAnsi="Times New Roman" w:cs="Times New Roman"/>
          <w:sz w:val="24"/>
          <w:szCs w:val="24"/>
          <w:lang w:val="en-GB"/>
        </w:rPr>
        <w:t xml:space="preserve"> that Jesus saw in his exorcisms a sign that God’s kingdom had broken into history. Likewise, the kingdom of God was also present in Jesus’ miraculous signs and preaching as it is still present in today’s Church proclamation of the Good News. In Luke’s Gospel Jesus began his ministry by citing the O</w:t>
      </w:r>
      <w:r w:rsidR="0012696D" w:rsidRPr="009E5363">
        <w:rPr>
          <w:rFonts w:ascii="Times New Roman" w:hAnsi="Times New Roman" w:cs="Times New Roman"/>
          <w:sz w:val="24"/>
          <w:szCs w:val="24"/>
          <w:lang w:val="en-GB"/>
        </w:rPr>
        <w:t xml:space="preserve">ld </w:t>
      </w:r>
      <w:r w:rsidRPr="009E5363">
        <w:rPr>
          <w:rFonts w:ascii="Times New Roman" w:hAnsi="Times New Roman" w:cs="Times New Roman"/>
          <w:sz w:val="24"/>
          <w:szCs w:val="24"/>
          <w:lang w:val="en-GB"/>
        </w:rPr>
        <w:t>T</w:t>
      </w:r>
      <w:r w:rsidR="0012696D" w:rsidRPr="009E5363">
        <w:rPr>
          <w:rFonts w:ascii="Times New Roman" w:hAnsi="Times New Roman" w:cs="Times New Roman"/>
          <w:sz w:val="24"/>
          <w:szCs w:val="24"/>
          <w:lang w:val="en-GB"/>
        </w:rPr>
        <w:t>estament</w:t>
      </w:r>
      <w:r w:rsidRPr="009E5363">
        <w:rPr>
          <w:rFonts w:ascii="Times New Roman" w:hAnsi="Times New Roman" w:cs="Times New Roman"/>
          <w:sz w:val="24"/>
          <w:szCs w:val="24"/>
          <w:lang w:val="en-GB"/>
        </w:rPr>
        <w:t xml:space="preserve"> scriptures and claiming that they reach fulfillment in his person and ministry (Isa. 61: 1-2; Luke 4:16-20): the Good News of release from captive had now been realized through him. The year of God’s </w:t>
      </w:r>
      <w:r w:rsidR="008961C9" w:rsidRPr="009E5363">
        <w:rPr>
          <w:rFonts w:ascii="Times New Roman" w:hAnsi="Times New Roman" w:cs="Times New Roman"/>
          <w:sz w:val="24"/>
          <w:szCs w:val="24"/>
          <w:lang w:val="en-GB"/>
        </w:rPr>
        <w:t>favour</w:t>
      </w:r>
      <w:r w:rsidRPr="009E5363">
        <w:rPr>
          <w:rFonts w:ascii="Times New Roman" w:hAnsi="Times New Roman" w:cs="Times New Roman"/>
          <w:sz w:val="24"/>
          <w:szCs w:val="24"/>
          <w:lang w:val="en-GB"/>
        </w:rPr>
        <w:t xml:space="preserve"> and the liberty of God’s people had arrived. But the truth is that the promises were not coming to pass in the way Israel expected. The kingdom had arrived, and yet Israel must await the day of vindication and the completion of all th</w:t>
      </w:r>
      <w:r w:rsidR="00CF0C96">
        <w:rPr>
          <w:rFonts w:ascii="Times New Roman" w:hAnsi="Times New Roman" w:cs="Times New Roman"/>
          <w:sz w:val="24"/>
          <w:szCs w:val="24"/>
          <w:lang w:val="en-GB"/>
        </w:rPr>
        <w:t>at God promised (Lk 17: 20-21).</w:t>
      </w:r>
      <w:r w:rsidRPr="009E5363">
        <w:rPr>
          <w:rFonts w:ascii="Times New Roman" w:hAnsi="Times New Roman" w:cs="Times New Roman"/>
          <w:sz w:val="24"/>
          <w:szCs w:val="24"/>
          <w:lang w:val="en-GB"/>
        </w:rPr>
        <w:t xml:space="preserve"> Similarly, why pray for the kingdom to come if it has already arrived in the person of Jesus. For this reason, many scholars now agree that the kingdom of God in Jesus’ teaching is both present and future. It is already inaugurated but not yet consummated. In fact, the kingdom had already arrived in the person and ministry of Jesus Christ, but God’s enemies had not yet been entirely removed, and the people of God did not yet possess all the blessings pledged to them in the</w:t>
      </w:r>
      <w:r w:rsidR="008A23A4" w:rsidRPr="009E5363">
        <w:rPr>
          <w:rFonts w:ascii="Times New Roman" w:hAnsi="Times New Roman" w:cs="Times New Roman"/>
          <w:sz w:val="24"/>
          <w:szCs w:val="24"/>
          <w:lang w:val="en-GB"/>
        </w:rPr>
        <w:t xml:space="preserve"> Old Testament</w:t>
      </w:r>
      <w:r w:rsidRPr="009E5363">
        <w:rPr>
          <w:rFonts w:ascii="Times New Roman" w:hAnsi="Times New Roman" w:cs="Times New Roman"/>
          <w:sz w:val="24"/>
          <w:szCs w:val="24"/>
          <w:lang w:val="en-GB"/>
        </w:rPr>
        <w:t xml:space="preserve">. Jesus’ miracles are not just the promise of the kingdom; they are themselves the actualization, at least in part, of God’s kingdom. They testify to the already-not yet character of the kingdom. They demonstrate that the kingdom of God has entered into this world, and yet not everyone is healed, which shows that the kingdom is not yet consummated. Death and evil still cast their long shadow over the world. </w:t>
      </w:r>
    </w:p>
    <w:p w:rsidR="006A443F" w:rsidRPr="009E5363" w:rsidRDefault="006A443F" w:rsidP="009603A4">
      <w:pPr>
        <w:spacing w:line="480" w:lineRule="auto"/>
        <w:ind w:firstLine="708"/>
        <w:jc w:val="both"/>
        <w:rPr>
          <w:rFonts w:ascii="Times New Roman" w:hAnsi="Times New Roman" w:cs="Times New Roman"/>
          <w:sz w:val="24"/>
          <w:szCs w:val="24"/>
          <w:lang w:val="en-GB"/>
        </w:rPr>
      </w:pPr>
    </w:p>
    <w:sectPr w:rsidR="006A443F" w:rsidRPr="009E5363" w:rsidSect="00060821">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4FB" w:rsidRDefault="00D664FB" w:rsidP="00FE26B9">
      <w:pPr>
        <w:spacing w:after="0" w:line="240" w:lineRule="auto"/>
      </w:pPr>
      <w:r>
        <w:separator/>
      </w:r>
    </w:p>
  </w:endnote>
  <w:endnote w:type="continuationSeparator" w:id="0">
    <w:p w:rsidR="00D664FB" w:rsidRDefault="00D664FB" w:rsidP="00FE26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58516"/>
      <w:docPartObj>
        <w:docPartGallery w:val="Page Numbers (Bottom of Page)"/>
        <w:docPartUnique/>
      </w:docPartObj>
    </w:sdtPr>
    <w:sdtContent>
      <w:p w:rsidR="00FE26B9" w:rsidRDefault="00DF50F2">
        <w:pPr>
          <w:pStyle w:val="Footer"/>
          <w:jc w:val="right"/>
        </w:pPr>
        <w:fldSimple w:instr=" PAGE   \* MERGEFORMAT ">
          <w:r w:rsidR="00656FFE">
            <w:rPr>
              <w:noProof/>
            </w:rPr>
            <w:t>3</w:t>
          </w:r>
        </w:fldSimple>
      </w:p>
    </w:sdtContent>
  </w:sdt>
  <w:p w:rsidR="00FE26B9" w:rsidRDefault="00FE26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4FB" w:rsidRDefault="00D664FB" w:rsidP="00FE26B9">
      <w:pPr>
        <w:spacing w:after="0" w:line="240" w:lineRule="auto"/>
      </w:pPr>
      <w:r>
        <w:separator/>
      </w:r>
    </w:p>
  </w:footnote>
  <w:footnote w:type="continuationSeparator" w:id="0">
    <w:p w:rsidR="00D664FB" w:rsidRDefault="00D664FB" w:rsidP="00FE26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0D89"/>
    <w:multiLevelType w:val="hybridMultilevel"/>
    <w:tmpl w:val="A0EABEFE"/>
    <w:lvl w:ilvl="0" w:tplc="444EB1BA">
      <w:start w:val="1"/>
      <w:numFmt w:val="decimal"/>
      <w:lvlText w:val="%1."/>
      <w:lvlJc w:val="left"/>
      <w:pPr>
        <w:ind w:left="720" w:hanging="360"/>
      </w:pPr>
      <w:rPr>
        <w:rFonts w:hint="default"/>
        <w:b/>
        <w:sz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211F53B4"/>
    <w:multiLevelType w:val="hybridMultilevel"/>
    <w:tmpl w:val="FDECD738"/>
    <w:lvl w:ilvl="0" w:tplc="5628A43C">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60075"/>
    <w:rsid w:val="00060821"/>
    <w:rsid w:val="0012696D"/>
    <w:rsid w:val="00195B37"/>
    <w:rsid w:val="001B4704"/>
    <w:rsid w:val="001B47AB"/>
    <w:rsid w:val="001D73E1"/>
    <w:rsid w:val="00214D01"/>
    <w:rsid w:val="00260E17"/>
    <w:rsid w:val="00267040"/>
    <w:rsid w:val="00286901"/>
    <w:rsid w:val="00354F7C"/>
    <w:rsid w:val="003B00E2"/>
    <w:rsid w:val="004511F3"/>
    <w:rsid w:val="00460BBF"/>
    <w:rsid w:val="004653A5"/>
    <w:rsid w:val="00530FD6"/>
    <w:rsid w:val="00656FFE"/>
    <w:rsid w:val="006A443F"/>
    <w:rsid w:val="007042D9"/>
    <w:rsid w:val="00760075"/>
    <w:rsid w:val="00791F8E"/>
    <w:rsid w:val="007C5E5F"/>
    <w:rsid w:val="007E7487"/>
    <w:rsid w:val="008407B3"/>
    <w:rsid w:val="00854994"/>
    <w:rsid w:val="008563B4"/>
    <w:rsid w:val="008961C9"/>
    <w:rsid w:val="008A23A4"/>
    <w:rsid w:val="008F0008"/>
    <w:rsid w:val="009603A4"/>
    <w:rsid w:val="00971662"/>
    <w:rsid w:val="009E5363"/>
    <w:rsid w:val="009F5967"/>
    <w:rsid w:val="00A842EE"/>
    <w:rsid w:val="00A9631C"/>
    <w:rsid w:val="00AA59F0"/>
    <w:rsid w:val="00AE49C0"/>
    <w:rsid w:val="00B27868"/>
    <w:rsid w:val="00B335E4"/>
    <w:rsid w:val="00B623E3"/>
    <w:rsid w:val="00BE5045"/>
    <w:rsid w:val="00BF101B"/>
    <w:rsid w:val="00CB46A4"/>
    <w:rsid w:val="00CF0C96"/>
    <w:rsid w:val="00D0504C"/>
    <w:rsid w:val="00D664FB"/>
    <w:rsid w:val="00DF50F2"/>
    <w:rsid w:val="00EE6254"/>
    <w:rsid w:val="00EF76F7"/>
    <w:rsid w:val="00F65410"/>
    <w:rsid w:val="00FB4FAC"/>
    <w:rsid w:val="00FE26B9"/>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75"/>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504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FE26B9"/>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FE26B9"/>
    <w:rPr>
      <w:lang w:val="fr-FR"/>
    </w:rPr>
  </w:style>
  <w:style w:type="paragraph" w:styleId="Footer">
    <w:name w:val="footer"/>
    <w:basedOn w:val="Normal"/>
    <w:link w:val="FooterChar"/>
    <w:uiPriority w:val="99"/>
    <w:unhideWhenUsed/>
    <w:rsid w:val="00FE26B9"/>
    <w:pPr>
      <w:tabs>
        <w:tab w:val="center" w:pos="4252"/>
        <w:tab w:val="right" w:pos="8504"/>
      </w:tabs>
      <w:spacing w:after="0" w:line="240" w:lineRule="auto"/>
    </w:pPr>
  </w:style>
  <w:style w:type="character" w:customStyle="1" w:styleId="FooterChar">
    <w:name w:val="Footer Char"/>
    <w:basedOn w:val="DefaultParagraphFont"/>
    <w:link w:val="Footer"/>
    <w:uiPriority w:val="99"/>
    <w:rsid w:val="00FE26B9"/>
    <w:rPr>
      <w:lang w:val="fr-FR"/>
    </w:rPr>
  </w:style>
  <w:style w:type="paragraph" w:styleId="ListParagraph">
    <w:name w:val="List Paragraph"/>
    <w:basedOn w:val="Normal"/>
    <w:uiPriority w:val="34"/>
    <w:qFormat/>
    <w:rsid w:val="00195B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65C56-B31A-4858-8E1A-12554F7DE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914</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Àguas</dc:creator>
  <cp:lastModifiedBy>Rui Àguas</cp:lastModifiedBy>
  <cp:revision>36</cp:revision>
  <dcterms:created xsi:type="dcterms:W3CDTF">2021-01-25T21:31:00Z</dcterms:created>
  <dcterms:modified xsi:type="dcterms:W3CDTF">2021-02-04T20:12:00Z</dcterms:modified>
</cp:coreProperties>
</file>