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90C" w:rsidRDefault="00F627C6">
      <w:r>
        <w:t xml:space="preserve">LECTURE 8: </w:t>
      </w:r>
      <w:r w:rsidRPr="00AC197B">
        <w:rPr>
          <w:b/>
        </w:rPr>
        <w:t>THE CONCEPT OF JUSTICE IN THE OLD TESTAMENT</w:t>
      </w:r>
    </w:p>
    <w:p w:rsidR="00F627C6" w:rsidRDefault="00F627C6"/>
    <w:p w:rsidR="00F627C6" w:rsidRDefault="00F46739" w:rsidP="00966F0C">
      <w:pPr>
        <w:jc w:val="both"/>
      </w:pPr>
      <w:r>
        <w:t xml:space="preserve">The concept of justice is central to Biblical thought both in the OT and the NT. </w:t>
      </w:r>
      <w:r w:rsidR="00966F0C">
        <w:t xml:space="preserve">The concept is so important that in NT thought, the concept of salvation is intimately linked with the idea of justification. In the OT, the concept of justice is connected to the OT thought of God’s attribute and nature. </w:t>
      </w:r>
      <w:r w:rsidR="00A83B86">
        <w:t xml:space="preserve">It is one of the central concepts that determine the quality of relationship that God maintains both with the people of Israel and other nations. </w:t>
      </w:r>
    </w:p>
    <w:p w:rsidR="00834FB2" w:rsidRDefault="00834FB2" w:rsidP="00966F0C">
      <w:pPr>
        <w:jc w:val="both"/>
      </w:pPr>
    </w:p>
    <w:p w:rsidR="00834FB2" w:rsidRDefault="00834FB2" w:rsidP="00966F0C">
      <w:pPr>
        <w:jc w:val="both"/>
      </w:pPr>
      <w:r>
        <w:t>The Term “</w:t>
      </w:r>
      <w:r w:rsidR="005770BB">
        <w:t>To Judge”, “Justice” in the OT</w:t>
      </w:r>
    </w:p>
    <w:p w:rsidR="005770BB" w:rsidRDefault="005770BB" w:rsidP="00966F0C">
      <w:pPr>
        <w:jc w:val="both"/>
      </w:pPr>
    </w:p>
    <w:p w:rsidR="005770BB" w:rsidRDefault="005770BB" w:rsidP="00966F0C">
      <w:pPr>
        <w:jc w:val="both"/>
      </w:pPr>
      <w:r>
        <w:t xml:space="preserve">The principal verb that expresses the idea of “justice” is the term </w:t>
      </w:r>
      <w:r w:rsidRPr="005770BB">
        <w:t>מִשְׁפָּט</w:t>
      </w:r>
      <w:r>
        <w:t xml:space="preserve"> “</w:t>
      </w:r>
      <w:r>
        <w:rPr>
          <w:i/>
        </w:rPr>
        <w:t>mišpāṭ</w:t>
      </w:r>
      <w:r>
        <w:t>” which comes from the verb and root</w:t>
      </w:r>
      <w:r w:rsidR="00A9686B">
        <w:t xml:space="preserve"> </w:t>
      </w:r>
      <w:r>
        <w:t xml:space="preserve"> </w:t>
      </w:r>
      <w:r w:rsidR="00A9686B" w:rsidRPr="00A9686B">
        <w:t xml:space="preserve">שׁפט </w:t>
      </w:r>
      <w:r>
        <w:t>“</w:t>
      </w:r>
      <w:r w:rsidR="00A9686B">
        <w:rPr>
          <w:i/>
        </w:rPr>
        <w:t>špṭ</w:t>
      </w:r>
      <w:r>
        <w:t>”, meaning fundamentally to judge.</w:t>
      </w:r>
      <w:r w:rsidR="00D2572C">
        <w:t xml:space="preserve"> </w:t>
      </w:r>
      <w:r>
        <w:t>However, this Hebrew word has a multifarious meaning and could mean in some cases “ordinance” (cf. 1 Sam 8:9; 10:25; Lev 5:10; 9:16)</w:t>
      </w:r>
      <w:r w:rsidR="00206771">
        <w:t xml:space="preserve"> or “decision” (cf. Exod 21:31; </w:t>
      </w:r>
      <w:r w:rsidR="00A9686B">
        <w:t>Deut 7:12</w:t>
      </w:r>
      <w:r w:rsidR="00206771">
        <w:t>)</w:t>
      </w:r>
      <w:r w:rsidR="00A9686B">
        <w:t xml:space="preserve">. The multifarious nature of this term is evident in its use in the book of judges where some of the figures do not have any functions relating to judgement. Some are simply presented as warriors rather than judges, yet the term </w:t>
      </w:r>
      <w:r w:rsidR="00A9686B">
        <w:rPr>
          <w:i/>
        </w:rPr>
        <w:t>mišpāṭ</w:t>
      </w:r>
      <w:r w:rsidR="00A9686B">
        <w:t xml:space="preserve"> was used to describe their function. </w:t>
      </w:r>
      <w:r w:rsidR="007D1AFA">
        <w:t xml:space="preserve">There is strong evidence that attests that originally the substantive </w:t>
      </w:r>
      <w:r w:rsidR="007D1AFA">
        <w:rPr>
          <w:i/>
        </w:rPr>
        <w:t>mišpāṭ</w:t>
      </w:r>
      <w:r w:rsidR="007D1AFA">
        <w:t xml:space="preserve"> referred to the restoration of a situation or environment which promoted equity and harmony </w:t>
      </w:r>
      <w:r w:rsidR="007D1AFA">
        <w:rPr>
          <w:i/>
        </w:rPr>
        <w:t>(</w:t>
      </w:r>
      <w:proofErr w:type="spellStart"/>
      <w:r w:rsidR="007D1AFA">
        <w:rPr>
          <w:i/>
        </w:rPr>
        <w:t>šālôm</w:t>
      </w:r>
      <w:proofErr w:type="spellEnd"/>
      <w:r w:rsidR="007D1AFA">
        <w:rPr>
          <w:i/>
        </w:rPr>
        <w:t>)</w:t>
      </w:r>
      <w:r w:rsidR="007D1AFA">
        <w:t xml:space="preserve"> in a community</w:t>
      </w:r>
      <w:r w:rsidR="007D1AFA">
        <w:rPr>
          <w:vertAlign w:val="superscript"/>
        </w:rPr>
        <w:footnoteReference w:id="1"/>
      </w:r>
      <w:r w:rsidR="007D1AFA">
        <w:t xml:space="preserve">. </w:t>
      </w:r>
      <w:r w:rsidR="00A9686B">
        <w:t xml:space="preserve">There are still other words that in some cases are translated “to judge” or “justice” in the OT. </w:t>
      </w:r>
      <w:r w:rsidR="00D2572C">
        <w:t xml:space="preserve"> The term </w:t>
      </w:r>
      <w:proofErr w:type="spellStart"/>
      <w:r w:rsidR="00D2572C" w:rsidRPr="00D2572C">
        <w:rPr>
          <w:rFonts w:ascii="Times New Roman" w:hAnsi="Times New Roman" w:cs="Times New Roman"/>
        </w:rPr>
        <w:t>דין</w:t>
      </w:r>
      <w:proofErr w:type="spellEnd"/>
      <w:r w:rsidR="00D2572C">
        <w:t xml:space="preserve"> “</w:t>
      </w:r>
      <w:proofErr w:type="spellStart"/>
      <w:r w:rsidR="00D2572C" w:rsidRPr="00D2572C">
        <w:rPr>
          <w:i/>
        </w:rPr>
        <w:t>dyn</w:t>
      </w:r>
      <w:proofErr w:type="spellEnd"/>
      <w:r w:rsidR="00D2572C">
        <w:t xml:space="preserve">” occurs in both Jer 5:28 and Dan 4:37 (in Aramaic). In both cases it translates judgement. </w:t>
      </w:r>
      <w:r w:rsidR="007D1AFA">
        <w:t xml:space="preserve">Connected to the idea of justice is the concept of “being just” which is expressed in OT thought with </w:t>
      </w:r>
      <w:r w:rsidR="007D1AFA" w:rsidRPr="007D1AFA">
        <w:t>צֶ֫</w:t>
      </w:r>
      <w:proofErr w:type="spellStart"/>
      <w:r w:rsidR="007D1AFA" w:rsidRPr="007D1AFA">
        <w:t>דֶק</w:t>
      </w:r>
      <w:proofErr w:type="spellEnd"/>
      <w:r w:rsidR="007D1AFA">
        <w:t xml:space="preserve"> “</w:t>
      </w:r>
      <w:proofErr w:type="spellStart"/>
      <w:r w:rsidR="007D1AFA">
        <w:t>sedeq</w:t>
      </w:r>
      <w:proofErr w:type="spellEnd"/>
      <w:r w:rsidR="007D1AFA">
        <w:t xml:space="preserve">”.  In several biblical passages, the two terms “righteousness” </w:t>
      </w:r>
      <w:r w:rsidR="007D1AFA">
        <w:rPr>
          <w:i/>
        </w:rPr>
        <w:t>(</w:t>
      </w:r>
      <w:proofErr w:type="spellStart"/>
      <w:r w:rsidR="007D1AFA">
        <w:rPr>
          <w:i/>
        </w:rPr>
        <w:t>ṣĕdāqâ</w:t>
      </w:r>
      <w:proofErr w:type="spellEnd"/>
      <w:r w:rsidR="007D1AFA">
        <w:rPr>
          <w:i/>
        </w:rPr>
        <w:t>)</w:t>
      </w:r>
      <w:r w:rsidR="007D1AFA">
        <w:t xml:space="preserve"> and “justice” </w:t>
      </w:r>
      <w:r w:rsidR="007D1AFA">
        <w:rPr>
          <w:i/>
        </w:rPr>
        <w:t>(</w:t>
      </w:r>
      <w:proofErr w:type="spellStart"/>
      <w:r w:rsidR="007D1AFA">
        <w:rPr>
          <w:i/>
        </w:rPr>
        <w:t>mišpāṭ</w:t>
      </w:r>
      <w:proofErr w:type="spellEnd"/>
      <w:r w:rsidR="007D1AFA">
        <w:rPr>
          <w:i/>
        </w:rPr>
        <w:t>)</w:t>
      </w:r>
      <w:r w:rsidR="007D1AFA">
        <w:t xml:space="preserve"> are used synonymously (Amos 5:24; Gen 18:19). Justice</w:t>
      </w:r>
      <w:r w:rsidR="007D1AFA">
        <w:rPr>
          <w:vertAlign w:val="superscript"/>
        </w:rPr>
        <w:footnoteReference w:id="2"/>
      </w:r>
      <w:r w:rsidR="007D1AFA">
        <w:t>. This idea also relates to the NT thought of justification which is “to declare just” (</w:t>
      </w:r>
      <w:r w:rsidR="007D1AFA" w:rsidRPr="00736256">
        <w:rPr>
          <w:i/>
        </w:rPr>
        <w:t>dikaiosune</w:t>
      </w:r>
      <w:r w:rsidR="007D1AFA">
        <w:t xml:space="preserve">). </w:t>
      </w:r>
    </w:p>
    <w:p w:rsidR="007D1AFA" w:rsidRDefault="007D1AFA" w:rsidP="00966F0C">
      <w:pPr>
        <w:jc w:val="both"/>
      </w:pPr>
    </w:p>
    <w:p w:rsidR="007D1AFA" w:rsidRDefault="007D1AFA" w:rsidP="00966F0C">
      <w:pPr>
        <w:jc w:val="both"/>
      </w:pPr>
      <w:r>
        <w:t>GOD AND JUSTICE IN THE OT</w:t>
      </w:r>
    </w:p>
    <w:p w:rsidR="00FA7547" w:rsidRDefault="00FA7547" w:rsidP="00966F0C">
      <w:pPr>
        <w:jc w:val="both"/>
      </w:pPr>
    </w:p>
    <w:p w:rsidR="00FA7547" w:rsidRDefault="00FA7547" w:rsidP="00966F0C">
      <w:pPr>
        <w:jc w:val="both"/>
      </w:pPr>
      <w:r>
        <w:t>God as Guardian of Justice</w:t>
      </w:r>
    </w:p>
    <w:p w:rsidR="00FA7547" w:rsidRDefault="00FA7547" w:rsidP="00966F0C">
      <w:pPr>
        <w:jc w:val="both"/>
      </w:pPr>
    </w:p>
    <w:p w:rsidR="00FA7547" w:rsidRDefault="00FA7547" w:rsidP="00966F0C">
      <w:pPr>
        <w:jc w:val="both"/>
      </w:pPr>
      <w:r>
        <w:t>The Israelites, like other Semitic people in the ANE, regarded the deity as the Judge of the whole earth (Gen 18:25). The basis of this belief is the fact that God as the creator of the whole earth is also a competent dispenser of justice in his creation</w:t>
      </w:r>
      <w:r w:rsidR="00B60D33">
        <w:t xml:space="preserve"> (cf. Ps 99:1-4). </w:t>
      </w:r>
      <w:r w:rsidR="00D25059">
        <w:t>God would punish those whose conduct made the lives of others difficult in the world (cf. Ps 94:2-4). God was summoned to judge nation for their disregard of justice in their social dealings with other people (Ps 9:7-9). God does not principally require piety but rather justice and righteousness from individuals (Amos 5:21-24</w:t>
      </w:r>
      <w:r w:rsidR="006B1084">
        <w:t>; Mic 6:6-8</w:t>
      </w:r>
      <w:r w:rsidR="00D25059">
        <w:t>).</w:t>
      </w:r>
      <w:r w:rsidR="00B56D81">
        <w:t xml:space="preserve"> God is especially severe in punishing the wickedness of other nations against his own people. In Joel 3:2, God promised to bring the nations into the valley of Jehoshaphat and to enter into judgement (</w:t>
      </w:r>
      <w:proofErr w:type="spellStart"/>
      <w:r w:rsidR="00B56D81">
        <w:t>mispat</w:t>
      </w:r>
      <w:proofErr w:type="spellEnd"/>
      <w:r w:rsidR="00B56D81">
        <w:t xml:space="preserve">) with them there. Amos, the prophet of social justice mentions justice in Amos 5 in his oracle of lament against Israel’s sins. God who speaks through the prophet in this oracle warns: “in all the </w:t>
      </w:r>
      <w:proofErr w:type="spellStart"/>
      <w:r w:rsidR="00B56D81">
        <w:t>vineyars</w:t>
      </w:r>
      <w:proofErr w:type="spellEnd"/>
      <w:r w:rsidR="00B56D81">
        <w:t xml:space="preserve"> there shall be wailing, for I will pass through the midst of you, says Yhwh” (Amos 5:17). One demand of the Covenant at Sinai is social justice and fairness which is enshrined in the ten </w:t>
      </w:r>
      <w:r w:rsidR="00B56D81">
        <w:lastRenderedPageBreak/>
        <w:t>commandments.</w:t>
      </w:r>
      <w:r w:rsidR="005E7C3B">
        <w:t xml:space="preserve"> For this reason, divine punishment against injustice is one </w:t>
      </w:r>
      <w:proofErr w:type="spellStart"/>
      <w:r w:rsidR="005E7C3B">
        <w:t>prinicipal</w:t>
      </w:r>
      <w:proofErr w:type="spellEnd"/>
      <w:r w:rsidR="005E7C3B">
        <w:t xml:space="preserve"> element of prophetic oracles against </w:t>
      </w:r>
      <w:r w:rsidR="004B0B2D">
        <w:t xml:space="preserve">injustice (cf. Jer 5:28; 21:12; Amos 5:17 </w:t>
      </w:r>
      <w:proofErr w:type="spellStart"/>
      <w:r w:rsidR="004B0B2D">
        <w:t>etc</w:t>
      </w:r>
      <w:proofErr w:type="spellEnd"/>
      <w:r w:rsidR="004B0B2D">
        <w:t xml:space="preserve">).  </w:t>
      </w:r>
    </w:p>
    <w:p w:rsidR="004B0B2D" w:rsidRDefault="004B0B2D" w:rsidP="00966F0C">
      <w:pPr>
        <w:jc w:val="both"/>
      </w:pPr>
    </w:p>
    <w:p w:rsidR="004B0B2D" w:rsidRDefault="004B0B2D" w:rsidP="00966F0C">
      <w:pPr>
        <w:jc w:val="both"/>
      </w:pPr>
      <w:r>
        <w:t>Fairness of God’s Justice</w:t>
      </w:r>
    </w:p>
    <w:p w:rsidR="004B0B2D" w:rsidRDefault="004B0B2D" w:rsidP="00966F0C">
      <w:pPr>
        <w:jc w:val="both"/>
      </w:pPr>
    </w:p>
    <w:p w:rsidR="004B0B2D" w:rsidRDefault="004B0B2D" w:rsidP="00966F0C">
      <w:pPr>
        <w:jc w:val="both"/>
      </w:pPr>
      <w:r>
        <w:t>OT texts display Israel’s expectation of God’s justice and fairness and this fairness is based on the righteousness of God as a judge. God is a righteous judge (cf. Ps 7:11; 9:8; 119; 137; 145:17). Earthly judges are therefore to imitate this righteousness in their judgments. In executing judgement, they are expected to be absolutely fair because they are agents and deputies of the righteous judge, God (Deut 1:16-17; Exod 18:21-23).</w:t>
      </w:r>
      <w:r w:rsidR="00062C93">
        <w:t xml:space="preserve"> </w:t>
      </w:r>
      <w:r w:rsidR="00883165">
        <w:t xml:space="preserve">In this light, the so-called judges </w:t>
      </w:r>
      <w:r w:rsidR="00883165">
        <w:rPr>
          <w:i/>
        </w:rPr>
        <w:t>(</w:t>
      </w:r>
      <w:proofErr w:type="spellStart"/>
      <w:r w:rsidR="00883165">
        <w:rPr>
          <w:i/>
        </w:rPr>
        <w:t>šôpĕṭı̂m</w:t>
      </w:r>
      <w:proofErr w:type="spellEnd"/>
      <w:r w:rsidR="00883165">
        <w:rPr>
          <w:i/>
        </w:rPr>
        <w:t>)</w:t>
      </w:r>
      <w:r w:rsidR="00883165">
        <w:t xml:space="preserve"> of the book of Judges were appointed by God to act for him as administrators of justice in two ways. In a military emergency, they liberated the Israelites by commanding military campaigns against the aggressive enemies who threatened their freedom and peace </w:t>
      </w:r>
      <w:r w:rsidR="00883165">
        <w:rPr>
          <w:i/>
        </w:rPr>
        <w:t>(</w:t>
      </w:r>
      <w:proofErr w:type="spellStart"/>
      <w:r w:rsidR="00883165">
        <w:rPr>
          <w:i/>
        </w:rPr>
        <w:t>šālôm</w:t>
      </w:r>
      <w:proofErr w:type="spellEnd"/>
      <w:r w:rsidR="00883165">
        <w:rPr>
          <w:i/>
        </w:rPr>
        <w:t>)</w:t>
      </w:r>
      <w:r w:rsidR="00883165">
        <w:t>.</w:t>
      </w:r>
      <w:r w:rsidR="00883165">
        <w:rPr>
          <w:vertAlign w:val="superscript"/>
        </w:rPr>
        <w:footnoteReference w:id="3"/>
      </w:r>
      <w:r w:rsidR="00883165">
        <w:t xml:space="preserve"> In peacetime, the judges administered justice by deciding disputes arising among their people (</w:t>
      </w:r>
      <w:proofErr w:type="spellStart"/>
      <w:r w:rsidR="00883165">
        <w:t>Judg</w:t>
      </w:r>
      <w:proofErr w:type="spellEnd"/>
      <w:r w:rsidR="00883165">
        <w:t xml:space="preserve"> 4:4–5). That these judges were just and righteous people is implied in the Deuteronomistic summary statement that when they died, the children of Israel forgot the way of the Lord (</w:t>
      </w:r>
      <w:proofErr w:type="spellStart"/>
      <w:r w:rsidR="00883165">
        <w:t>Judg</w:t>
      </w:r>
      <w:proofErr w:type="spellEnd"/>
      <w:r w:rsidR="00883165">
        <w:t xml:space="preserve"> 2:17–19).</w:t>
      </w:r>
      <w:r w:rsidR="00883165">
        <w:rPr>
          <w:vertAlign w:val="superscript"/>
        </w:rPr>
        <w:footnoteReference w:id="4"/>
      </w:r>
      <w:r w:rsidR="00883165">
        <w:t xml:space="preserve"> </w:t>
      </w:r>
    </w:p>
    <w:p w:rsidR="00B56D81" w:rsidRDefault="00B56D81" w:rsidP="00966F0C">
      <w:pPr>
        <w:jc w:val="both"/>
      </w:pPr>
    </w:p>
    <w:p w:rsidR="006F6F2F" w:rsidRDefault="00B56D81" w:rsidP="00966F0C">
      <w:pPr>
        <w:jc w:val="both"/>
      </w:pPr>
      <w:r>
        <w:t>The Law as God’s Instrument of Justice</w:t>
      </w:r>
    </w:p>
    <w:p w:rsidR="007D1AFA" w:rsidRPr="002D530F" w:rsidRDefault="006F6F2F" w:rsidP="002D530F">
      <w:pPr>
        <w:pStyle w:val="NormalWeb"/>
        <w:jc w:val="both"/>
        <w:rPr>
          <w:rFonts w:asciiTheme="minorHAnsi" w:hAnsiTheme="minorHAnsi" w:cstheme="minorHAnsi"/>
        </w:rPr>
      </w:pPr>
      <w:r w:rsidRPr="006F6F2F">
        <w:rPr>
          <w:rFonts w:asciiTheme="minorHAnsi" w:hAnsiTheme="minorHAnsi" w:cstheme="minorHAnsi"/>
        </w:rPr>
        <w:t xml:space="preserve">According to </w:t>
      </w:r>
      <w:r w:rsidR="00217A72">
        <w:rPr>
          <w:rFonts w:asciiTheme="minorHAnsi" w:hAnsiTheme="minorHAnsi" w:cstheme="minorHAnsi"/>
        </w:rPr>
        <w:t>B. Johnson</w:t>
      </w:r>
      <w:r w:rsidRPr="006F6F2F">
        <w:rPr>
          <w:rFonts w:asciiTheme="minorHAnsi" w:hAnsiTheme="minorHAnsi" w:cstheme="minorHAnsi"/>
        </w:rPr>
        <w:t xml:space="preserve">, the meaning “law, commandment” occupies an important place in the use of </w:t>
      </w:r>
      <w:proofErr w:type="spellStart"/>
      <w:r w:rsidRPr="006F6F2F">
        <w:rPr>
          <w:rFonts w:asciiTheme="minorHAnsi" w:hAnsiTheme="minorHAnsi" w:cstheme="minorHAnsi"/>
        </w:rPr>
        <w:t>mispat</w:t>
      </w:r>
      <w:proofErr w:type="spellEnd"/>
      <w:r w:rsidRPr="006F6F2F">
        <w:rPr>
          <w:rFonts w:asciiTheme="minorHAnsi" w:hAnsiTheme="minorHAnsi" w:cstheme="minorHAnsi"/>
        </w:rPr>
        <w:t>.</w:t>
      </w:r>
      <w:r w:rsidR="00217A72">
        <w:rPr>
          <w:rStyle w:val="FootnoteReference"/>
          <w:rFonts w:asciiTheme="minorHAnsi" w:hAnsiTheme="minorHAnsi" w:cstheme="minorHAnsi"/>
        </w:rPr>
        <w:footnoteReference w:id="5"/>
      </w:r>
      <w:r w:rsidRPr="006F6F2F">
        <w:rPr>
          <w:rFonts w:asciiTheme="minorHAnsi" w:hAnsiTheme="minorHAnsi" w:cstheme="minorHAnsi"/>
        </w:rPr>
        <w:t xml:space="preserve"> When it denotes a law, especially of God, the word usually appears in plural. God’s </w:t>
      </w:r>
      <w:proofErr w:type="spellStart"/>
      <w:r w:rsidRPr="006F6F2F">
        <w:rPr>
          <w:rFonts w:asciiTheme="minorHAnsi" w:hAnsiTheme="minorHAnsi" w:cstheme="minorHAnsi"/>
        </w:rPr>
        <w:t>mispatim</w:t>
      </w:r>
      <w:proofErr w:type="spellEnd"/>
      <w:r w:rsidRPr="006F6F2F">
        <w:rPr>
          <w:rFonts w:asciiTheme="minorHAnsi" w:hAnsiTheme="minorHAnsi" w:cstheme="minorHAnsi"/>
        </w:rPr>
        <w:t xml:space="preserve"> are individual commandments as well as the summary of the entire law. Moses or God commanded these laws (cf. </w:t>
      </w:r>
      <w:proofErr w:type="spellStart"/>
      <w:r w:rsidRPr="006F6F2F">
        <w:rPr>
          <w:rFonts w:asciiTheme="minorHAnsi" w:hAnsiTheme="minorHAnsi" w:cstheme="minorHAnsi"/>
        </w:rPr>
        <w:t>Num</w:t>
      </w:r>
      <w:proofErr w:type="spellEnd"/>
      <w:r w:rsidRPr="006F6F2F">
        <w:rPr>
          <w:rFonts w:asciiTheme="minorHAnsi" w:hAnsiTheme="minorHAnsi" w:cstheme="minorHAnsi"/>
        </w:rPr>
        <w:t xml:space="preserve"> 36:13; Deut 6:1, 20; Mal 3:22; 2 </w:t>
      </w:r>
      <w:proofErr w:type="spellStart"/>
      <w:r w:rsidRPr="006F6F2F">
        <w:rPr>
          <w:rFonts w:asciiTheme="minorHAnsi" w:hAnsiTheme="minorHAnsi" w:cstheme="minorHAnsi"/>
        </w:rPr>
        <w:t>Chr</w:t>
      </w:r>
      <w:proofErr w:type="spellEnd"/>
      <w:r w:rsidRPr="006F6F2F">
        <w:rPr>
          <w:rFonts w:asciiTheme="minorHAnsi" w:hAnsiTheme="minorHAnsi" w:cstheme="minorHAnsi"/>
        </w:rPr>
        <w:t xml:space="preserve"> 33:8). Sometimes God gave </w:t>
      </w:r>
      <w:r w:rsidRPr="00FC3296">
        <w:rPr>
          <w:rFonts w:asciiTheme="minorHAnsi" w:hAnsiTheme="minorHAnsi" w:cstheme="minorHAnsi"/>
        </w:rPr>
        <w:t xml:space="preserve">these laws(Lev. 26:46; </w:t>
      </w:r>
      <w:proofErr w:type="spellStart"/>
      <w:r w:rsidRPr="00FC3296">
        <w:rPr>
          <w:rFonts w:asciiTheme="minorHAnsi" w:hAnsiTheme="minorHAnsi" w:cstheme="minorHAnsi"/>
        </w:rPr>
        <w:t>Ezk</w:t>
      </w:r>
      <w:proofErr w:type="spellEnd"/>
      <w:r w:rsidRPr="00FC3296">
        <w:rPr>
          <w:rFonts w:asciiTheme="minorHAnsi" w:hAnsiTheme="minorHAnsi" w:cstheme="minorHAnsi"/>
        </w:rPr>
        <w:t xml:space="preserve">. 20:25; Ps. 72:1; Neh. 9:13)  or spoke them (Dt. 4:45; 5:31(28); Jer. 1:16; 4:12). Israel is expected to hear God’s </w:t>
      </w:r>
      <w:proofErr w:type="spellStart"/>
      <w:r w:rsidRPr="00FC3296">
        <w:rPr>
          <w:rFonts w:asciiTheme="minorHAnsi" w:hAnsiTheme="minorHAnsi" w:cstheme="minorHAnsi"/>
        </w:rPr>
        <w:t>mispatim</w:t>
      </w:r>
      <w:proofErr w:type="spellEnd"/>
      <w:r w:rsidRPr="00FC3296">
        <w:rPr>
          <w:rFonts w:asciiTheme="minorHAnsi" w:hAnsiTheme="minorHAnsi" w:cstheme="minorHAnsi"/>
        </w:rPr>
        <w:t xml:space="preserve"> (Deut 5:1; 7:12; Deut 4:1), to keep them</w:t>
      </w:r>
      <w:r w:rsidR="00FC3296" w:rsidRPr="00FC3296">
        <w:rPr>
          <w:rFonts w:asciiTheme="minorHAnsi" w:hAnsiTheme="minorHAnsi" w:cstheme="minorHAnsi"/>
        </w:rPr>
        <w:t xml:space="preserve"> and to do them (Lev. 18:4; Dt. 11 :32; 26: 16; I K. 6: 12; 11 :33; </w:t>
      </w:r>
      <w:proofErr w:type="spellStart"/>
      <w:r w:rsidR="00FC3296" w:rsidRPr="00FC3296">
        <w:rPr>
          <w:rFonts w:asciiTheme="minorHAnsi" w:hAnsiTheme="minorHAnsi" w:cstheme="minorHAnsi"/>
        </w:rPr>
        <w:t>Ezk</w:t>
      </w:r>
      <w:proofErr w:type="spellEnd"/>
      <w:r w:rsidR="00FC3296" w:rsidRPr="00FC3296">
        <w:rPr>
          <w:rFonts w:asciiTheme="minorHAnsi" w:hAnsiTheme="minorHAnsi" w:cstheme="minorHAnsi"/>
        </w:rPr>
        <w:t xml:space="preserve">. 18: 17; Neh. 10:30; I Ch. 22: 13; 28:7). </w:t>
      </w:r>
      <w:r w:rsidR="00FC3296">
        <w:rPr>
          <w:rFonts w:asciiTheme="minorHAnsi" w:hAnsiTheme="minorHAnsi" w:cstheme="minorHAnsi"/>
        </w:rPr>
        <w:t xml:space="preserve">The idea of having law and justice as synonymous could be significant. It underscores the law of God as a way of administration of justice because the one who gave those laws is righteousness and justice himself. </w:t>
      </w:r>
    </w:p>
    <w:p w:rsidR="00883165" w:rsidRDefault="00883165" w:rsidP="00966F0C">
      <w:pPr>
        <w:jc w:val="both"/>
      </w:pPr>
      <w:r>
        <w:t>ISRAELITES AND JUSTICE</w:t>
      </w:r>
    </w:p>
    <w:p w:rsidR="00883165" w:rsidRDefault="00883165" w:rsidP="00966F0C">
      <w:pPr>
        <w:jc w:val="both"/>
      </w:pPr>
    </w:p>
    <w:p w:rsidR="00FC3296" w:rsidRDefault="00FC3296" w:rsidP="00966F0C">
      <w:pPr>
        <w:jc w:val="both"/>
      </w:pPr>
      <w:r>
        <w:rPr>
          <w:i/>
        </w:rPr>
        <w:t>mišpāṭim</w:t>
      </w:r>
      <w:r>
        <w:t xml:space="preserve"> as human Law</w:t>
      </w:r>
    </w:p>
    <w:p w:rsidR="00FC3296" w:rsidRDefault="00FC3296" w:rsidP="00966F0C">
      <w:pPr>
        <w:jc w:val="both"/>
      </w:pPr>
    </w:p>
    <w:p w:rsidR="00FC3296" w:rsidRDefault="00FC3296" w:rsidP="00966F0C">
      <w:pPr>
        <w:jc w:val="both"/>
      </w:pPr>
      <w:r>
        <w:t xml:space="preserve">The idea of using the concept of </w:t>
      </w:r>
      <w:r>
        <w:rPr>
          <w:i/>
        </w:rPr>
        <w:t xml:space="preserve">mišpāṭim </w:t>
      </w:r>
      <w:r w:rsidRPr="00FC3296">
        <w:t>to denote</w:t>
      </w:r>
      <w:r>
        <w:t xml:space="preserve"> law is found not only at the divine realm but also at the human realm. Sometimes we find a few expressions in the prophets who use this concept to denote a human law which is placed in contrast to the divine law considered impeccable. Hence, the human </w:t>
      </w:r>
      <w:r>
        <w:rPr>
          <w:i/>
        </w:rPr>
        <w:t>mišpāṭim</w:t>
      </w:r>
      <w:r>
        <w:t xml:space="preserve"> stand in negative </w:t>
      </w:r>
      <w:proofErr w:type="spellStart"/>
      <w:r>
        <w:t>constrast</w:t>
      </w:r>
      <w:proofErr w:type="spellEnd"/>
      <w:r>
        <w:t xml:space="preserve"> to God’s own </w:t>
      </w:r>
      <w:r>
        <w:rPr>
          <w:i/>
        </w:rPr>
        <w:t>mišpāṭim</w:t>
      </w:r>
      <w:r>
        <w:t>. Ezek 11:12 accuses Israe</w:t>
      </w:r>
      <w:r w:rsidR="002D530F">
        <w:t>l</w:t>
      </w:r>
      <w:r>
        <w:t xml:space="preserve"> of having acted according to the </w:t>
      </w:r>
      <w:r>
        <w:rPr>
          <w:i/>
        </w:rPr>
        <w:t>mišpāṭim</w:t>
      </w:r>
      <w:r>
        <w:t xml:space="preserve"> of pagan nations and in Ezek 20:18, he warns them against following the </w:t>
      </w:r>
      <w:r>
        <w:rPr>
          <w:i/>
        </w:rPr>
        <w:t>mišpāṭim</w:t>
      </w:r>
      <w:r>
        <w:t xml:space="preserve"> of their fathers.  </w:t>
      </w:r>
      <w:r w:rsidR="0078240C">
        <w:t xml:space="preserve">However, the concept of </w:t>
      </w:r>
      <w:r w:rsidR="0078240C">
        <w:rPr>
          <w:i/>
        </w:rPr>
        <w:t>mišpāṭim</w:t>
      </w:r>
      <w:r w:rsidR="0078240C">
        <w:t xml:space="preserve"> as law can of its own be positive (cf. Ezek 7:27; 23:24).  </w:t>
      </w:r>
    </w:p>
    <w:p w:rsidR="00FC3296" w:rsidRDefault="00FC3296" w:rsidP="00966F0C">
      <w:pPr>
        <w:jc w:val="both"/>
      </w:pPr>
    </w:p>
    <w:p w:rsidR="00953F15" w:rsidRDefault="00953F15" w:rsidP="00966F0C">
      <w:pPr>
        <w:jc w:val="both"/>
      </w:pPr>
    </w:p>
    <w:p w:rsidR="007D1AFA" w:rsidRDefault="00883165" w:rsidP="00966F0C">
      <w:pPr>
        <w:jc w:val="both"/>
      </w:pPr>
      <w:r>
        <w:lastRenderedPageBreak/>
        <w:t>The Poor and</w:t>
      </w:r>
      <w:r w:rsidR="0078240C">
        <w:t xml:space="preserve"> Social</w:t>
      </w:r>
      <w:r>
        <w:t xml:space="preserve"> Justice in the OT</w:t>
      </w:r>
    </w:p>
    <w:p w:rsidR="0078240C" w:rsidRDefault="0078240C" w:rsidP="00966F0C">
      <w:pPr>
        <w:jc w:val="both"/>
      </w:pPr>
    </w:p>
    <w:p w:rsidR="0078240C" w:rsidRDefault="004D0A36" w:rsidP="00966F0C">
      <w:pPr>
        <w:jc w:val="both"/>
      </w:pPr>
      <w:r>
        <w:t>Already in the ten commandments, there is a special focus on the social life of Israelites much more than on their direct relationship with God.</w:t>
      </w:r>
      <w:r w:rsidR="00217A72">
        <w:t xml:space="preserve"> Most of those commandments were dedicated to justice among the people of Israel.</w:t>
      </w:r>
      <w:r>
        <w:t xml:space="preserve"> There is a special concern for the poor regarding justice in the OT. In several biblical passages, particularly in the Psalms and the Prophets, God is portrayed as having a special concern for the poor, particularly the widow, the fatherless, and the oppressed (Ps 10:17–18; 82:1–8; cf. 109:16).</w:t>
      </w:r>
      <w:r>
        <w:rPr>
          <w:vertAlign w:val="superscript"/>
        </w:rPr>
        <w:footnoteReference w:id="6"/>
      </w:r>
      <w:r>
        <w:t xml:space="preserve"> In prophetic texts especially Amos, Justice </w:t>
      </w:r>
      <w:r>
        <w:rPr>
          <w:i/>
        </w:rPr>
        <w:t>(mišpāṭ)</w:t>
      </w:r>
      <w:r>
        <w:t xml:space="preserve"> does not solely refer to moral norm, but also refers to basic human rights. For this reason, when the prophet Amos refers to the poor as the righteous </w:t>
      </w:r>
      <w:r>
        <w:rPr>
          <w:i/>
        </w:rPr>
        <w:t>(</w:t>
      </w:r>
      <w:proofErr w:type="spellStart"/>
      <w:r>
        <w:rPr>
          <w:i/>
        </w:rPr>
        <w:t>ṣaddı̂q</w:t>
      </w:r>
      <w:proofErr w:type="spellEnd"/>
      <w:r>
        <w:rPr>
          <w:i/>
        </w:rPr>
        <w:t>)</w:t>
      </w:r>
      <w:r>
        <w:t xml:space="preserve">, he is referring to their being on the right with respect to their dispute with the oppressors over the infringement of their basic rights. It was therefore natural that the people oppressed by the economic, social, and political systems and others, such as the sojourners, who experienced some injustices, should appeal to God to intervene in order that their rights </w:t>
      </w:r>
      <w:r>
        <w:rPr>
          <w:i/>
        </w:rPr>
        <w:t>(mišpāṭ)</w:t>
      </w:r>
      <w:r>
        <w:t xml:space="preserve"> might be restored (Ps 146:7–9; cf. 119:153–59)</w:t>
      </w:r>
      <w:r>
        <w:rPr>
          <w:vertAlign w:val="superscript"/>
        </w:rPr>
        <w:footnoteReference w:id="7"/>
      </w:r>
      <w:r>
        <w:t>. When they sold their produce and services, they expected a fair deal from the merchants (Amos 2:6–7). Ownership of land and property, freedom and security, constituted their inalienable human rights endowed upon them by God, their creator.</w:t>
      </w:r>
      <w:r>
        <w:rPr>
          <w:vertAlign w:val="superscript"/>
        </w:rPr>
        <w:footnoteReference w:id="8"/>
      </w:r>
    </w:p>
    <w:p w:rsidR="004D0A36" w:rsidRDefault="004D0A36" w:rsidP="00966F0C">
      <w:pPr>
        <w:jc w:val="both"/>
      </w:pPr>
    </w:p>
    <w:p w:rsidR="004D0A36" w:rsidRDefault="004D0A36" w:rsidP="00966F0C">
      <w:pPr>
        <w:jc w:val="both"/>
      </w:pPr>
      <w:r>
        <w:t xml:space="preserve">Since God requites all people according to their just deserts, those who felt innocent of any wrongdoing against other people, and who had not transgressed God’s law, summoned God to test, try, or examine them to verify their uprightness in order that he might judge </w:t>
      </w:r>
      <w:r>
        <w:rPr>
          <w:i/>
        </w:rPr>
        <w:t>(špṭ)</w:t>
      </w:r>
      <w:r>
        <w:t xml:space="preserve"> them accordingly (Ps 139:23–24). In making this summons, God was invoked to reward the wicked according to their wickedness and the upright in heart according to their righteousness (Ps 94:1–3).</w:t>
      </w:r>
      <w:r>
        <w:rPr>
          <w:vertAlign w:val="superscript"/>
        </w:rPr>
        <w:footnoteReference w:id="9"/>
      </w:r>
      <w:r w:rsidRPr="004D0A36">
        <w:t xml:space="preserve"> </w:t>
      </w:r>
      <w:r>
        <w:t>God judges in order to restore the lost rights of the oppressed (Ps 76:9). He establishes justice in the world by eliminating inequalities (Ps 113:4–9). God’s justice aims at creating an egalitarian community in which all classes of people maintain their basic human rights.</w:t>
      </w:r>
      <w:r>
        <w:rPr>
          <w:vertAlign w:val="superscript"/>
        </w:rPr>
        <w:footnoteReference w:id="10"/>
      </w:r>
    </w:p>
    <w:p w:rsidR="00217A72" w:rsidRDefault="00217A72" w:rsidP="00966F0C">
      <w:pPr>
        <w:jc w:val="both"/>
      </w:pPr>
    </w:p>
    <w:p w:rsidR="00217A72" w:rsidRDefault="00217A72" w:rsidP="00966F0C">
      <w:pPr>
        <w:jc w:val="both"/>
      </w:pPr>
      <w:r>
        <w:t>CONNECTION WITH NT</w:t>
      </w:r>
    </w:p>
    <w:p w:rsidR="00217A72" w:rsidRDefault="00217A72" w:rsidP="00966F0C">
      <w:pPr>
        <w:jc w:val="both"/>
      </w:pPr>
    </w:p>
    <w:p w:rsidR="00217A72" w:rsidRDefault="00217A72" w:rsidP="00966F0C">
      <w:pPr>
        <w:jc w:val="both"/>
      </w:pPr>
      <w:r>
        <w:t>In St Paul the concept of justification through faith is rendered with the term “dikaiosune”. This term comes from the term “</w:t>
      </w:r>
      <w:proofErr w:type="spellStart"/>
      <w:r>
        <w:t>dikaios</w:t>
      </w:r>
      <w:proofErr w:type="spellEnd"/>
      <w:r>
        <w:t xml:space="preserve">” meaning righteous. Hence the OT link that exists between righteousness and justice is contained in this idea. Moreover, from St Paul’s theology, one is declared righteous not because we merit it but because God the righteous one declares one righteous because of our faith in Christ Jesus. Hence, again the idea of God as the righteous judge comes to the fore. God’s righteousness is rendered most evident in his justice according to OT thought and for St Paul, this righteousness is given to the one who is justified and made righteous by God. </w:t>
      </w:r>
    </w:p>
    <w:p w:rsidR="00217A72" w:rsidRDefault="00217A72" w:rsidP="00966F0C">
      <w:pPr>
        <w:jc w:val="both"/>
      </w:pPr>
    </w:p>
    <w:p w:rsidR="00217A72" w:rsidRDefault="00217A72" w:rsidP="00966F0C">
      <w:pPr>
        <w:jc w:val="both"/>
      </w:pPr>
      <w:r>
        <w:t>This idea is also connected to the famous citation from the Psalms: “if you O Lord should mark our guilt, Lord who would s</w:t>
      </w:r>
      <w:bookmarkStart w:id="0" w:name="_GoBack"/>
      <w:bookmarkEnd w:id="0"/>
      <w:r>
        <w:t xml:space="preserve">urvive?” (Ps 130:3). </w:t>
      </w:r>
      <w:proofErr w:type="gramStart"/>
      <w:r>
        <w:t>Thus</w:t>
      </w:r>
      <w:proofErr w:type="gramEnd"/>
      <w:r>
        <w:t xml:space="preserve"> the righteousness of God which we do </w:t>
      </w:r>
      <w:r>
        <w:lastRenderedPageBreak/>
        <w:t xml:space="preserve">not have and which we do not merit is given to us as a salvific justice we do not even deserve in St Paul. </w:t>
      </w:r>
    </w:p>
    <w:p w:rsidR="00217A72" w:rsidRDefault="00217A72" w:rsidP="00966F0C">
      <w:pPr>
        <w:jc w:val="both"/>
      </w:pPr>
    </w:p>
    <w:p w:rsidR="00217A72" w:rsidRDefault="00217A72" w:rsidP="00966F0C">
      <w:pPr>
        <w:jc w:val="both"/>
      </w:pPr>
      <w:r>
        <w:t>Contextualization</w:t>
      </w:r>
    </w:p>
    <w:p w:rsidR="00217A72" w:rsidRDefault="00217A72" w:rsidP="00966F0C">
      <w:pPr>
        <w:jc w:val="both"/>
      </w:pPr>
    </w:p>
    <w:p w:rsidR="00932EE5" w:rsidRDefault="00932EE5" w:rsidP="00932EE5">
      <w:pPr>
        <w:pStyle w:val="ListParagraph"/>
        <w:numPr>
          <w:ilvl w:val="0"/>
          <w:numId w:val="1"/>
        </w:numPr>
        <w:jc w:val="both"/>
      </w:pPr>
      <w:r>
        <w:t>Our Faith and Justice</w:t>
      </w:r>
    </w:p>
    <w:p w:rsidR="00932EE5" w:rsidRDefault="00932EE5" w:rsidP="00932EE5">
      <w:pPr>
        <w:jc w:val="both"/>
      </w:pPr>
    </w:p>
    <w:p w:rsidR="00932EE5" w:rsidRDefault="00932EE5" w:rsidP="00932EE5">
      <w:pPr>
        <w:jc w:val="both"/>
      </w:pPr>
      <w:r>
        <w:t>In the OT, Israelite faith is intimately connected to their observance of social justice. For this reason, our faith today obliges us to search for justice whenever it is lacking in any space we find ourselves. In our communities, in our country and in the church. We are supposed to the custodians of justice in our different areas of apostolate. We should be the last people to violate justice in any space we find ourselves.</w:t>
      </w:r>
    </w:p>
    <w:p w:rsidR="00932EE5" w:rsidRDefault="00932EE5" w:rsidP="00932EE5">
      <w:pPr>
        <w:jc w:val="both"/>
      </w:pPr>
    </w:p>
    <w:p w:rsidR="00217A72" w:rsidRDefault="00932EE5" w:rsidP="00932EE5">
      <w:pPr>
        <w:pStyle w:val="ListParagraph"/>
        <w:numPr>
          <w:ilvl w:val="0"/>
          <w:numId w:val="1"/>
        </w:numPr>
        <w:jc w:val="both"/>
      </w:pPr>
      <w:r>
        <w:t>God punishes injustice</w:t>
      </w:r>
      <w:r w:rsidR="00217A72">
        <w:t xml:space="preserve"> </w:t>
      </w:r>
    </w:p>
    <w:p w:rsidR="00932EE5" w:rsidRDefault="00932EE5" w:rsidP="00932EE5">
      <w:pPr>
        <w:jc w:val="both"/>
      </w:pPr>
    </w:p>
    <w:p w:rsidR="00932EE5" w:rsidRDefault="00932EE5" w:rsidP="00932EE5">
      <w:pPr>
        <w:jc w:val="both"/>
      </w:pPr>
      <w:r>
        <w:t xml:space="preserve">Many prophetic oracles of </w:t>
      </w:r>
      <w:proofErr w:type="spellStart"/>
      <w:r>
        <w:t>jugement</w:t>
      </w:r>
      <w:proofErr w:type="spellEnd"/>
      <w:r>
        <w:t xml:space="preserve"> are against violators of social injustice. This is found in both Amos and Jeremiah. We should do well to remember that injustice never sits well with God who usually responds in </w:t>
      </w:r>
      <w:proofErr w:type="spellStart"/>
      <w:r>
        <w:t>favour</w:t>
      </w:r>
      <w:proofErr w:type="spellEnd"/>
      <w:r>
        <w:t xml:space="preserve"> of the poor and the weak. It will also be edifying to see religious men and women stand always in </w:t>
      </w:r>
      <w:proofErr w:type="spellStart"/>
      <w:r>
        <w:t>favour</w:t>
      </w:r>
      <w:proofErr w:type="spellEnd"/>
      <w:r>
        <w:t xml:space="preserve"> or the weak instead of on the side of the powerful who are the perpetrators of oppression. </w:t>
      </w:r>
    </w:p>
    <w:p w:rsidR="00217A72" w:rsidRDefault="00217A72" w:rsidP="00966F0C">
      <w:pPr>
        <w:jc w:val="both"/>
      </w:pPr>
    </w:p>
    <w:p w:rsidR="00217A72" w:rsidRDefault="00217A72" w:rsidP="00966F0C">
      <w:pPr>
        <w:jc w:val="both"/>
      </w:pPr>
    </w:p>
    <w:sectPr w:rsidR="00217A72" w:rsidSect="003217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3F48" w:rsidRDefault="00DB3F48" w:rsidP="007D1AFA">
      <w:r>
        <w:separator/>
      </w:r>
    </w:p>
  </w:endnote>
  <w:endnote w:type="continuationSeparator" w:id="0">
    <w:p w:rsidR="00DB3F48" w:rsidRDefault="00DB3F48" w:rsidP="007D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3F48" w:rsidRDefault="00DB3F48" w:rsidP="007D1AFA">
      <w:r>
        <w:separator/>
      </w:r>
    </w:p>
  </w:footnote>
  <w:footnote w:type="continuationSeparator" w:id="0">
    <w:p w:rsidR="00DB3F48" w:rsidRDefault="00DB3F48" w:rsidP="007D1AFA">
      <w:r>
        <w:continuationSeparator/>
      </w:r>
    </w:p>
  </w:footnote>
  <w:footnote w:id="1">
    <w:p w:rsidR="007D1AFA" w:rsidRPr="00217A72" w:rsidRDefault="007D1AFA" w:rsidP="007D1AFA">
      <w:pPr>
        <w:rPr>
          <w:sz w:val="20"/>
          <w:szCs w:val="20"/>
        </w:rPr>
      </w:pPr>
      <w:r w:rsidRPr="00217A72">
        <w:rPr>
          <w:sz w:val="20"/>
          <w:szCs w:val="20"/>
          <w:vertAlign w:val="superscript"/>
        </w:rPr>
        <w:footnoteRef/>
      </w:r>
      <w:r w:rsidRPr="00217A72">
        <w:rPr>
          <w:sz w:val="20"/>
          <w:szCs w:val="20"/>
        </w:rPr>
        <w:t xml:space="preserve"> </w:t>
      </w:r>
      <w:proofErr w:type="spellStart"/>
      <w:r w:rsidRPr="00217A72">
        <w:rPr>
          <w:smallCaps/>
          <w:sz w:val="20"/>
          <w:szCs w:val="20"/>
        </w:rPr>
        <w:t>Mafico</w:t>
      </w:r>
      <w:proofErr w:type="spellEnd"/>
      <w:r w:rsidRPr="00217A72">
        <w:rPr>
          <w:smallCaps/>
          <w:sz w:val="20"/>
          <w:szCs w:val="20"/>
        </w:rPr>
        <w:t>, T. L. J.</w:t>
      </w:r>
      <w:r w:rsidRPr="00217A72">
        <w:rPr>
          <w:sz w:val="20"/>
          <w:szCs w:val="20"/>
        </w:rPr>
        <w:t>, “</w:t>
      </w:r>
      <w:hyperlink r:id="rId1" w:history="1">
        <w:r w:rsidRPr="00217A72">
          <w:rPr>
            <w:color w:val="0000FF"/>
            <w:sz w:val="20"/>
            <w:szCs w:val="20"/>
            <w:u w:val="single"/>
          </w:rPr>
          <w:t>Just, Justice</w:t>
        </w:r>
      </w:hyperlink>
      <w:r w:rsidRPr="00217A72">
        <w:rPr>
          <w:sz w:val="20"/>
          <w:szCs w:val="20"/>
        </w:rPr>
        <w:t xml:space="preserve">”, </w:t>
      </w:r>
      <w:r w:rsidRPr="00217A72">
        <w:rPr>
          <w:i/>
          <w:sz w:val="20"/>
          <w:szCs w:val="20"/>
        </w:rPr>
        <w:t>The Anchor Yale Bible Dictionary</w:t>
      </w:r>
      <w:r w:rsidRPr="00217A72">
        <w:rPr>
          <w:sz w:val="20"/>
          <w:szCs w:val="20"/>
        </w:rPr>
        <w:t xml:space="preserve"> 3, 1128.</w:t>
      </w:r>
    </w:p>
  </w:footnote>
  <w:footnote w:id="2">
    <w:p w:rsidR="007D1AFA" w:rsidRPr="00217A72" w:rsidRDefault="007D1AFA" w:rsidP="007D1AFA">
      <w:pPr>
        <w:rPr>
          <w:sz w:val="20"/>
          <w:szCs w:val="20"/>
        </w:rPr>
      </w:pPr>
      <w:r w:rsidRPr="00217A72">
        <w:rPr>
          <w:sz w:val="20"/>
          <w:szCs w:val="20"/>
          <w:vertAlign w:val="superscript"/>
        </w:rPr>
        <w:footnoteRef/>
      </w:r>
      <w:r w:rsidRPr="00217A72">
        <w:rPr>
          <w:sz w:val="20"/>
          <w:szCs w:val="20"/>
        </w:rPr>
        <w:t xml:space="preserve"> </w:t>
      </w:r>
      <w:proofErr w:type="spellStart"/>
      <w:r w:rsidRPr="00217A72">
        <w:rPr>
          <w:smallCaps/>
          <w:sz w:val="20"/>
          <w:szCs w:val="20"/>
        </w:rPr>
        <w:t>Mafico</w:t>
      </w:r>
      <w:proofErr w:type="spellEnd"/>
      <w:r w:rsidRPr="00217A72">
        <w:rPr>
          <w:smallCaps/>
          <w:sz w:val="20"/>
          <w:szCs w:val="20"/>
        </w:rPr>
        <w:t>, T. L. J.</w:t>
      </w:r>
      <w:r w:rsidRPr="00217A72">
        <w:rPr>
          <w:sz w:val="20"/>
          <w:szCs w:val="20"/>
        </w:rPr>
        <w:t>, “</w:t>
      </w:r>
      <w:hyperlink r:id="rId2" w:history="1">
        <w:r w:rsidRPr="00217A72">
          <w:rPr>
            <w:color w:val="0000FF"/>
            <w:sz w:val="20"/>
            <w:szCs w:val="20"/>
            <w:u w:val="single"/>
          </w:rPr>
          <w:t>Just, Justice</w:t>
        </w:r>
      </w:hyperlink>
      <w:r w:rsidRPr="00217A72">
        <w:rPr>
          <w:sz w:val="20"/>
          <w:szCs w:val="20"/>
        </w:rPr>
        <w:t xml:space="preserve">”, </w:t>
      </w:r>
      <w:r w:rsidRPr="00217A72">
        <w:rPr>
          <w:i/>
          <w:sz w:val="20"/>
          <w:szCs w:val="20"/>
        </w:rPr>
        <w:t>The Anchor Yale Bible Dictionary</w:t>
      </w:r>
      <w:r w:rsidRPr="00217A72">
        <w:rPr>
          <w:sz w:val="20"/>
          <w:szCs w:val="20"/>
        </w:rPr>
        <w:t xml:space="preserve"> 3, 1128.</w:t>
      </w:r>
    </w:p>
  </w:footnote>
  <w:footnote w:id="3">
    <w:p w:rsidR="00883165" w:rsidRPr="00217A72" w:rsidRDefault="00883165" w:rsidP="00883165">
      <w:pPr>
        <w:rPr>
          <w:sz w:val="20"/>
          <w:szCs w:val="20"/>
        </w:rPr>
      </w:pPr>
      <w:r w:rsidRPr="00217A72">
        <w:rPr>
          <w:sz w:val="20"/>
          <w:szCs w:val="20"/>
          <w:vertAlign w:val="superscript"/>
        </w:rPr>
        <w:footnoteRef/>
      </w:r>
      <w:r w:rsidRPr="00217A72">
        <w:rPr>
          <w:sz w:val="20"/>
          <w:szCs w:val="20"/>
        </w:rPr>
        <w:t xml:space="preserve"> </w:t>
      </w:r>
      <w:proofErr w:type="spellStart"/>
      <w:r w:rsidRPr="00217A72">
        <w:rPr>
          <w:smallCaps/>
          <w:sz w:val="20"/>
          <w:szCs w:val="20"/>
        </w:rPr>
        <w:t>Mafico</w:t>
      </w:r>
      <w:proofErr w:type="spellEnd"/>
      <w:r w:rsidRPr="00217A72">
        <w:rPr>
          <w:smallCaps/>
          <w:sz w:val="20"/>
          <w:szCs w:val="20"/>
        </w:rPr>
        <w:t>, T. L. J.</w:t>
      </w:r>
      <w:r w:rsidRPr="00217A72">
        <w:rPr>
          <w:sz w:val="20"/>
          <w:szCs w:val="20"/>
        </w:rPr>
        <w:t>, “</w:t>
      </w:r>
      <w:hyperlink r:id="rId3" w:history="1">
        <w:r w:rsidRPr="00217A72">
          <w:rPr>
            <w:color w:val="0000FF"/>
            <w:sz w:val="20"/>
            <w:szCs w:val="20"/>
            <w:u w:val="single"/>
          </w:rPr>
          <w:t>Just, Justice</w:t>
        </w:r>
      </w:hyperlink>
      <w:r w:rsidRPr="00217A72">
        <w:rPr>
          <w:sz w:val="20"/>
          <w:szCs w:val="20"/>
        </w:rPr>
        <w:t xml:space="preserve">”, </w:t>
      </w:r>
      <w:r w:rsidRPr="00217A72">
        <w:rPr>
          <w:i/>
          <w:sz w:val="20"/>
          <w:szCs w:val="20"/>
        </w:rPr>
        <w:t>The Anchor Yale Bible Dictionary</w:t>
      </w:r>
      <w:r w:rsidRPr="00217A72">
        <w:rPr>
          <w:sz w:val="20"/>
          <w:szCs w:val="20"/>
        </w:rPr>
        <w:t xml:space="preserve"> 3, 1128.</w:t>
      </w:r>
    </w:p>
  </w:footnote>
  <w:footnote w:id="4">
    <w:p w:rsidR="00883165" w:rsidRPr="00217A72" w:rsidRDefault="00883165" w:rsidP="00883165">
      <w:pPr>
        <w:rPr>
          <w:sz w:val="20"/>
          <w:szCs w:val="20"/>
        </w:rPr>
      </w:pPr>
      <w:r w:rsidRPr="00217A72">
        <w:rPr>
          <w:sz w:val="20"/>
          <w:szCs w:val="20"/>
          <w:vertAlign w:val="superscript"/>
        </w:rPr>
        <w:footnoteRef/>
      </w:r>
      <w:r w:rsidRPr="00217A72">
        <w:rPr>
          <w:sz w:val="20"/>
          <w:szCs w:val="20"/>
        </w:rPr>
        <w:t xml:space="preserve"> </w:t>
      </w:r>
      <w:proofErr w:type="spellStart"/>
      <w:r w:rsidRPr="00217A72">
        <w:rPr>
          <w:smallCaps/>
          <w:sz w:val="20"/>
          <w:szCs w:val="20"/>
        </w:rPr>
        <w:t>Mafico</w:t>
      </w:r>
      <w:proofErr w:type="spellEnd"/>
      <w:r w:rsidRPr="00217A72">
        <w:rPr>
          <w:smallCaps/>
          <w:sz w:val="20"/>
          <w:szCs w:val="20"/>
        </w:rPr>
        <w:t>, T. L. J.</w:t>
      </w:r>
      <w:r w:rsidRPr="00217A72">
        <w:rPr>
          <w:sz w:val="20"/>
          <w:szCs w:val="20"/>
        </w:rPr>
        <w:t>, “</w:t>
      </w:r>
      <w:hyperlink r:id="rId4" w:history="1">
        <w:r w:rsidRPr="00217A72">
          <w:rPr>
            <w:color w:val="0000FF"/>
            <w:sz w:val="20"/>
            <w:szCs w:val="20"/>
            <w:u w:val="single"/>
          </w:rPr>
          <w:t>Just, Justice</w:t>
        </w:r>
      </w:hyperlink>
      <w:r w:rsidRPr="00217A72">
        <w:rPr>
          <w:sz w:val="20"/>
          <w:szCs w:val="20"/>
        </w:rPr>
        <w:t xml:space="preserve">”, </w:t>
      </w:r>
      <w:r w:rsidRPr="00217A72">
        <w:rPr>
          <w:i/>
          <w:sz w:val="20"/>
          <w:szCs w:val="20"/>
        </w:rPr>
        <w:t>The Anchor Yale Bible Dictionary</w:t>
      </w:r>
      <w:r w:rsidRPr="00217A72">
        <w:rPr>
          <w:sz w:val="20"/>
          <w:szCs w:val="20"/>
        </w:rPr>
        <w:t xml:space="preserve"> 3, 1128.</w:t>
      </w:r>
    </w:p>
  </w:footnote>
  <w:footnote w:id="5">
    <w:p w:rsidR="00217A72" w:rsidRPr="00217A72" w:rsidRDefault="00217A72">
      <w:pPr>
        <w:pStyle w:val="FootnoteText"/>
      </w:pPr>
      <w:r w:rsidRPr="00217A72">
        <w:rPr>
          <w:rStyle w:val="FootnoteReference"/>
        </w:rPr>
        <w:footnoteRef/>
      </w:r>
      <w:r w:rsidRPr="00217A72">
        <w:t xml:space="preserve"> B. Johnson, “מִשְׁפָּט”, TDOT IX, 86-98.</w:t>
      </w:r>
    </w:p>
  </w:footnote>
  <w:footnote w:id="6">
    <w:p w:rsidR="004D0A36" w:rsidRPr="00217A72" w:rsidRDefault="004D0A36" w:rsidP="004D0A36">
      <w:pPr>
        <w:rPr>
          <w:sz w:val="20"/>
          <w:szCs w:val="20"/>
        </w:rPr>
      </w:pPr>
      <w:r w:rsidRPr="00217A72">
        <w:rPr>
          <w:sz w:val="20"/>
          <w:szCs w:val="20"/>
          <w:vertAlign w:val="superscript"/>
        </w:rPr>
        <w:footnoteRef/>
      </w:r>
      <w:r w:rsidRPr="00217A72">
        <w:rPr>
          <w:sz w:val="20"/>
          <w:szCs w:val="20"/>
        </w:rPr>
        <w:t xml:space="preserve"> </w:t>
      </w:r>
      <w:proofErr w:type="spellStart"/>
      <w:r w:rsidRPr="00217A72">
        <w:rPr>
          <w:smallCaps/>
          <w:sz w:val="20"/>
          <w:szCs w:val="20"/>
        </w:rPr>
        <w:t>Mafico</w:t>
      </w:r>
      <w:proofErr w:type="spellEnd"/>
      <w:r w:rsidRPr="00217A72">
        <w:rPr>
          <w:smallCaps/>
          <w:sz w:val="20"/>
          <w:szCs w:val="20"/>
        </w:rPr>
        <w:t>, T. L. J.</w:t>
      </w:r>
      <w:r w:rsidRPr="00217A72">
        <w:rPr>
          <w:sz w:val="20"/>
          <w:szCs w:val="20"/>
        </w:rPr>
        <w:t>, “</w:t>
      </w:r>
      <w:hyperlink r:id="rId5" w:history="1">
        <w:r w:rsidRPr="00217A72">
          <w:rPr>
            <w:color w:val="0000FF"/>
            <w:sz w:val="20"/>
            <w:szCs w:val="20"/>
            <w:u w:val="single"/>
          </w:rPr>
          <w:t>Just, Justice</w:t>
        </w:r>
      </w:hyperlink>
      <w:r w:rsidRPr="00217A72">
        <w:rPr>
          <w:sz w:val="20"/>
          <w:szCs w:val="20"/>
        </w:rPr>
        <w:t xml:space="preserve">”, </w:t>
      </w:r>
      <w:r w:rsidRPr="00217A72">
        <w:rPr>
          <w:i/>
          <w:sz w:val="20"/>
          <w:szCs w:val="20"/>
        </w:rPr>
        <w:t>The Anchor Yale Bible Dictionary</w:t>
      </w:r>
      <w:r w:rsidRPr="00217A72">
        <w:rPr>
          <w:sz w:val="20"/>
          <w:szCs w:val="20"/>
        </w:rPr>
        <w:t xml:space="preserve"> 3, 1128.</w:t>
      </w:r>
    </w:p>
  </w:footnote>
  <w:footnote w:id="7">
    <w:p w:rsidR="004D0A36" w:rsidRPr="00217A72" w:rsidRDefault="004D0A36" w:rsidP="004D0A36">
      <w:pPr>
        <w:rPr>
          <w:sz w:val="20"/>
          <w:szCs w:val="20"/>
        </w:rPr>
      </w:pPr>
      <w:r w:rsidRPr="00217A72">
        <w:rPr>
          <w:sz w:val="20"/>
          <w:szCs w:val="20"/>
          <w:vertAlign w:val="superscript"/>
        </w:rPr>
        <w:footnoteRef/>
      </w:r>
      <w:r w:rsidRPr="00217A72">
        <w:rPr>
          <w:sz w:val="20"/>
          <w:szCs w:val="20"/>
        </w:rPr>
        <w:t xml:space="preserve"> </w:t>
      </w:r>
      <w:proofErr w:type="spellStart"/>
      <w:r w:rsidRPr="00217A72">
        <w:rPr>
          <w:smallCaps/>
          <w:sz w:val="20"/>
          <w:szCs w:val="20"/>
        </w:rPr>
        <w:t>Mafico</w:t>
      </w:r>
      <w:proofErr w:type="spellEnd"/>
      <w:r w:rsidRPr="00217A72">
        <w:rPr>
          <w:smallCaps/>
          <w:sz w:val="20"/>
          <w:szCs w:val="20"/>
        </w:rPr>
        <w:t>, T. L. J.</w:t>
      </w:r>
      <w:r w:rsidRPr="00217A72">
        <w:rPr>
          <w:sz w:val="20"/>
          <w:szCs w:val="20"/>
        </w:rPr>
        <w:t>, “</w:t>
      </w:r>
      <w:hyperlink r:id="rId6" w:history="1">
        <w:r w:rsidRPr="00217A72">
          <w:rPr>
            <w:color w:val="0000FF"/>
            <w:sz w:val="20"/>
            <w:szCs w:val="20"/>
            <w:u w:val="single"/>
          </w:rPr>
          <w:t>Just, Justice</w:t>
        </w:r>
      </w:hyperlink>
      <w:r w:rsidRPr="00217A72">
        <w:rPr>
          <w:sz w:val="20"/>
          <w:szCs w:val="20"/>
        </w:rPr>
        <w:t xml:space="preserve">”, </w:t>
      </w:r>
      <w:r w:rsidRPr="00217A72">
        <w:rPr>
          <w:i/>
          <w:sz w:val="20"/>
          <w:szCs w:val="20"/>
        </w:rPr>
        <w:t>The Anchor Yale Bible Dictionary</w:t>
      </w:r>
      <w:r w:rsidRPr="00217A72">
        <w:rPr>
          <w:sz w:val="20"/>
          <w:szCs w:val="20"/>
        </w:rPr>
        <w:t xml:space="preserve"> 3, 1128.</w:t>
      </w:r>
    </w:p>
  </w:footnote>
  <w:footnote w:id="8">
    <w:p w:rsidR="004D0A36" w:rsidRPr="00217A72" w:rsidRDefault="004D0A36" w:rsidP="004D0A36">
      <w:pPr>
        <w:rPr>
          <w:sz w:val="20"/>
          <w:szCs w:val="20"/>
        </w:rPr>
      </w:pPr>
      <w:r w:rsidRPr="00217A72">
        <w:rPr>
          <w:sz w:val="20"/>
          <w:szCs w:val="20"/>
          <w:vertAlign w:val="superscript"/>
        </w:rPr>
        <w:footnoteRef/>
      </w:r>
      <w:r w:rsidRPr="00217A72">
        <w:rPr>
          <w:sz w:val="20"/>
          <w:szCs w:val="20"/>
        </w:rPr>
        <w:t xml:space="preserve"> </w:t>
      </w:r>
      <w:proofErr w:type="spellStart"/>
      <w:r w:rsidRPr="00217A72">
        <w:rPr>
          <w:smallCaps/>
          <w:sz w:val="20"/>
          <w:szCs w:val="20"/>
        </w:rPr>
        <w:t>Mafico</w:t>
      </w:r>
      <w:proofErr w:type="spellEnd"/>
      <w:r w:rsidRPr="00217A72">
        <w:rPr>
          <w:smallCaps/>
          <w:sz w:val="20"/>
          <w:szCs w:val="20"/>
        </w:rPr>
        <w:t>, T. L. J.</w:t>
      </w:r>
      <w:r w:rsidRPr="00217A72">
        <w:rPr>
          <w:sz w:val="20"/>
          <w:szCs w:val="20"/>
        </w:rPr>
        <w:t>, “</w:t>
      </w:r>
      <w:hyperlink r:id="rId7" w:history="1">
        <w:r w:rsidRPr="00217A72">
          <w:rPr>
            <w:color w:val="0000FF"/>
            <w:sz w:val="20"/>
            <w:szCs w:val="20"/>
            <w:u w:val="single"/>
          </w:rPr>
          <w:t>Just, Justice</w:t>
        </w:r>
      </w:hyperlink>
      <w:r w:rsidRPr="00217A72">
        <w:rPr>
          <w:sz w:val="20"/>
          <w:szCs w:val="20"/>
        </w:rPr>
        <w:t xml:space="preserve">”, </w:t>
      </w:r>
      <w:r w:rsidRPr="00217A72">
        <w:rPr>
          <w:i/>
          <w:sz w:val="20"/>
          <w:szCs w:val="20"/>
        </w:rPr>
        <w:t>The Anchor Yale Bible Dictionary</w:t>
      </w:r>
      <w:r w:rsidRPr="00217A72">
        <w:rPr>
          <w:sz w:val="20"/>
          <w:szCs w:val="20"/>
        </w:rPr>
        <w:t xml:space="preserve"> 3, 1128.</w:t>
      </w:r>
    </w:p>
  </w:footnote>
  <w:footnote w:id="9">
    <w:p w:rsidR="004D0A36" w:rsidRPr="00217A72" w:rsidRDefault="004D0A36" w:rsidP="004D0A36">
      <w:pPr>
        <w:rPr>
          <w:sz w:val="20"/>
          <w:szCs w:val="20"/>
        </w:rPr>
      </w:pPr>
      <w:r w:rsidRPr="00217A72">
        <w:rPr>
          <w:sz w:val="20"/>
          <w:szCs w:val="20"/>
          <w:vertAlign w:val="superscript"/>
        </w:rPr>
        <w:footnoteRef/>
      </w:r>
      <w:r w:rsidRPr="00217A72">
        <w:rPr>
          <w:sz w:val="20"/>
          <w:szCs w:val="20"/>
        </w:rPr>
        <w:t xml:space="preserve"> </w:t>
      </w:r>
      <w:proofErr w:type="spellStart"/>
      <w:r w:rsidRPr="00217A72">
        <w:rPr>
          <w:smallCaps/>
          <w:sz w:val="20"/>
          <w:szCs w:val="20"/>
        </w:rPr>
        <w:t>Mafico</w:t>
      </w:r>
      <w:proofErr w:type="spellEnd"/>
      <w:r w:rsidRPr="00217A72">
        <w:rPr>
          <w:smallCaps/>
          <w:sz w:val="20"/>
          <w:szCs w:val="20"/>
        </w:rPr>
        <w:t>, T. L. J.</w:t>
      </w:r>
      <w:r w:rsidRPr="00217A72">
        <w:rPr>
          <w:sz w:val="20"/>
          <w:szCs w:val="20"/>
        </w:rPr>
        <w:t>, “</w:t>
      </w:r>
      <w:hyperlink r:id="rId8" w:history="1">
        <w:r w:rsidRPr="00217A72">
          <w:rPr>
            <w:color w:val="0000FF"/>
            <w:sz w:val="20"/>
            <w:szCs w:val="20"/>
            <w:u w:val="single"/>
          </w:rPr>
          <w:t>Just, Justice</w:t>
        </w:r>
      </w:hyperlink>
      <w:r w:rsidRPr="00217A72">
        <w:rPr>
          <w:sz w:val="20"/>
          <w:szCs w:val="20"/>
        </w:rPr>
        <w:t xml:space="preserve">”, </w:t>
      </w:r>
      <w:r w:rsidRPr="00217A72">
        <w:rPr>
          <w:i/>
          <w:sz w:val="20"/>
          <w:szCs w:val="20"/>
        </w:rPr>
        <w:t>The Anchor Yale Bible Dictionary</w:t>
      </w:r>
      <w:r w:rsidRPr="00217A72">
        <w:rPr>
          <w:sz w:val="20"/>
          <w:szCs w:val="20"/>
        </w:rPr>
        <w:t xml:space="preserve"> 3, 1128.</w:t>
      </w:r>
    </w:p>
  </w:footnote>
  <w:footnote w:id="10">
    <w:p w:rsidR="004D0A36" w:rsidRPr="00217A72" w:rsidRDefault="004D0A36" w:rsidP="004D0A36">
      <w:pPr>
        <w:rPr>
          <w:sz w:val="20"/>
          <w:szCs w:val="20"/>
        </w:rPr>
      </w:pPr>
      <w:r w:rsidRPr="00217A72">
        <w:rPr>
          <w:sz w:val="20"/>
          <w:szCs w:val="20"/>
          <w:vertAlign w:val="superscript"/>
        </w:rPr>
        <w:footnoteRef/>
      </w:r>
      <w:r w:rsidRPr="00217A72">
        <w:rPr>
          <w:sz w:val="20"/>
          <w:szCs w:val="20"/>
        </w:rPr>
        <w:t xml:space="preserve"> </w:t>
      </w:r>
      <w:proofErr w:type="spellStart"/>
      <w:r w:rsidRPr="00217A72">
        <w:rPr>
          <w:smallCaps/>
          <w:sz w:val="20"/>
          <w:szCs w:val="20"/>
        </w:rPr>
        <w:t>Mafico</w:t>
      </w:r>
      <w:proofErr w:type="spellEnd"/>
      <w:r w:rsidRPr="00217A72">
        <w:rPr>
          <w:smallCaps/>
          <w:sz w:val="20"/>
          <w:szCs w:val="20"/>
        </w:rPr>
        <w:t>, T. L. J.</w:t>
      </w:r>
      <w:r w:rsidRPr="00217A72">
        <w:rPr>
          <w:sz w:val="20"/>
          <w:szCs w:val="20"/>
        </w:rPr>
        <w:t>, “</w:t>
      </w:r>
      <w:hyperlink r:id="rId9" w:history="1">
        <w:r w:rsidRPr="00217A72">
          <w:rPr>
            <w:color w:val="0000FF"/>
            <w:sz w:val="20"/>
            <w:szCs w:val="20"/>
            <w:u w:val="single"/>
          </w:rPr>
          <w:t>Just, Justice</w:t>
        </w:r>
      </w:hyperlink>
      <w:r w:rsidRPr="00217A72">
        <w:rPr>
          <w:sz w:val="20"/>
          <w:szCs w:val="20"/>
        </w:rPr>
        <w:t xml:space="preserve">”, </w:t>
      </w:r>
      <w:r w:rsidRPr="00217A72">
        <w:rPr>
          <w:i/>
          <w:sz w:val="20"/>
          <w:szCs w:val="20"/>
        </w:rPr>
        <w:t>The Anchor Yale Bible Dictionary</w:t>
      </w:r>
      <w:r w:rsidRPr="00217A72">
        <w:rPr>
          <w:sz w:val="20"/>
          <w:szCs w:val="20"/>
        </w:rPr>
        <w:t xml:space="preserve"> 3, 1129.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50597A"/>
    <w:multiLevelType w:val="hybridMultilevel"/>
    <w:tmpl w:val="1C02F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7C6"/>
    <w:rsid w:val="00062C93"/>
    <w:rsid w:val="00206771"/>
    <w:rsid w:val="00217A72"/>
    <w:rsid w:val="002D530F"/>
    <w:rsid w:val="00321750"/>
    <w:rsid w:val="004B0B2D"/>
    <w:rsid w:val="004D0A36"/>
    <w:rsid w:val="005770BB"/>
    <w:rsid w:val="005E7C3B"/>
    <w:rsid w:val="006B1084"/>
    <w:rsid w:val="006F6F2F"/>
    <w:rsid w:val="006F790C"/>
    <w:rsid w:val="00736256"/>
    <w:rsid w:val="0078240C"/>
    <w:rsid w:val="007D155A"/>
    <w:rsid w:val="007D1AFA"/>
    <w:rsid w:val="00834FB2"/>
    <w:rsid w:val="00883165"/>
    <w:rsid w:val="00932EE5"/>
    <w:rsid w:val="0093484B"/>
    <w:rsid w:val="00953F15"/>
    <w:rsid w:val="00966F0C"/>
    <w:rsid w:val="00A83B86"/>
    <w:rsid w:val="00A9686B"/>
    <w:rsid w:val="00AC197B"/>
    <w:rsid w:val="00AC1ED2"/>
    <w:rsid w:val="00B56D81"/>
    <w:rsid w:val="00B60D33"/>
    <w:rsid w:val="00D25059"/>
    <w:rsid w:val="00D2572C"/>
    <w:rsid w:val="00DB3F48"/>
    <w:rsid w:val="00F46739"/>
    <w:rsid w:val="00F627C6"/>
    <w:rsid w:val="00FA7547"/>
    <w:rsid w:val="00FC3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8CB828"/>
  <w15:chartTrackingRefBased/>
  <w15:docId w15:val="{7C8476FA-B659-7646-9B9C-0E70D98A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A36"/>
    <w:pPr>
      <w:autoSpaceDE w:val="0"/>
      <w:autoSpaceDN w:val="0"/>
      <w:adjustRightInd w:val="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6F2F"/>
    <w:pPr>
      <w:autoSpaceDE/>
      <w:autoSpaceDN/>
      <w:adjustRightInd/>
      <w:spacing w:before="100" w:beforeAutospacing="1" w:after="100" w:afterAutospacing="1"/>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17A72"/>
    <w:rPr>
      <w:sz w:val="20"/>
      <w:szCs w:val="20"/>
    </w:rPr>
  </w:style>
  <w:style w:type="character" w:customStyle="1" w:styleId="FootnoteTextChar">
    <w:name w:val="Footnote Text Char"/>
    <w:basedOn w:val="DefaultParagraphFont"/>
    <w:link w:val="FootnoteText"/>
    <w:uiPriority w:val="99"/>
    <w:semiHidden/>
    <w:rsid w:val="00217A72"/>
    <w:rPr>
      <w:rFonts w:ascii="Calibri" w:hAnsi="Calibri" w:cs="Calibri"/>
      <w:sz w:val="20"/>
      <w:szCs w:val="20"/>
    </w:rPr>
  </w:style>
  <w:style w:type="character" w:styleId="FootnoteReference">
    <w:name w:val="footnote reference"/>
    <w:basedOn w:val="DefaultParagraphFont"/>
    <w:uiPriority w:val="99"/>
    <w:semiHidden/>
    <w:unhideWhenUsed/>
    <w:rsid w:val="00217A72"/>
    <w:rPr>
      <w:vertAlign w:val="superscript"/>
    </w:rPr>
  </w:style>
  <w:style w:type="paragraph" w:styleId="ListParagraph">
    <w:name w:val="List Paragraph"/>
    <w:basedOn w:val="Normal"/>
    <w:uiPriority w:val="34"/>
    <w:qFormat/>
    <w:rsid w:val="00932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374540">
      <w:bodyDiv w:val="1"/>
      <w:marLeft w:val="0"/>
      <w:marRight w:val="0"/>
      <w:marTop w:val="0"/>
      <w:marBottom w:val="0"/>
      <w:divBdr>
        <w:top w:val="none" w:sz="0" w:space="0" w:color="auto"/>
        <w:left w:val="none" w:sz="0" w:space="0" w:color="auto"/>
        <w:bottom w:val="none" w:sz="0" w:space="0" w:color="auto"/>
        <w:right w:val="none" w:sz="0" w:space="0" w:color="auto"/>
      </w:divBdr>
      <w:divsChild>
        <w:div w:id="2114592380">
          <w:marLeft w:val="0"/>
          <w:marRight w:val="0"/>
          <w:marTop w:val="0"/>
          <w:marBottom w:val="0"/>
          <w:divBdr>
            <w:top w:val="none" w:sz="0" w:space="0" w:color="auto"/>
            <w:left w:val="none" w:sz="0" w:space="0" w:color="auto"/>
            <w:bottom w:val="none" w:sz="0" w:space="0" w:color="auto"/>
            <w:right w:val="none" w:sz="0" w:space="0" w:color="auto"/>
          </w:divBdr>
          <w:divsChild>
            <w:div w:id="2130472137">
              <w:marLeft w:val="0"/>
              <w:marRight w:val="0"/>
              <w:marTop w:val="0"/>
              <w:marBottom w:val="0"/>
              <w:divBdr>
                <w:top w:val="none" w:sz="0" w:space="0" w:color="auto"/>
                <w:left w:val="none" w:sz="0" w:space="0" w:color="auto"/>
                <w:bottom w:val="none" w:sz="0" w:space="0" w:color="auto"/>
                <w:right w:val="none" w:sz="0" w:space="0" w:color="auto"/>
              </w:divBdr>
              <w:divsChild>
                <w:div w:id="81344849">
                  <w:marLeft w:val="0"/>
                  <w:marRight w:val="0"/>
                  <w:marTop w:val="0"/>
                  <w:marBottom w:val="0"/>
                  <w:divBdr>
                    <w:top w:val="none" w:sz="0" w:space="0" w:color="auto"/>
                    <w:left w:val="none" w:sz="0" w:space="0" w:color="auto"/>
                    <w:bottom w:val="none" w:sz="0" w:space="0" w:color="auto"/>
                    <w:right w:val="none" w:sz="0" w:space="0" w:color="auto"/>
                  </w:divBdr>
                  <w:divsChild>
                    <w:div w:id="84227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818248">
      <w:bodyDiv w:val="1"/>
      <w:marLeft w:val="0"/>
      <w:marRight w:val="0"/>
      <w:marTop w:val="0"/>
      <w:marBottom w:val="0"/>
      <w:divBdr>
        <w:top w:val="none" w:sz="0" w:space="0" w:color="auto"/>
        <w:left w:val="none" w:sz="0" w:space="0" w:color="auto"/>
        <w:bottom w:val="none" w:sz="0" w:space="0" w:color="auto"/>
        <w:right w:val="none" w:sz="0" w:space="0" w:color="auto"/>
      </w:divBdr>
      <w:divsChild>
        <w:div w:id="1535264283">
          <w:marLeft w:val="0"/>
          <w:marRight w:val="0"/>
          <w:marTop w:val="0"/>
          <w:marBottom w:val="0"/>
          <w:divBdr>
            <w:top w:val="none" w:sz="0" w:space="0" w:color="auto"/>
            <w:left w:val="none" w:sz="0" w:space="0" w:color="auto"/>
            <w:bottom w:val="none" w:sz="0" w:space="0" w:color="auto"/>
            <w:right w:val="none" w:sz="0" w:space="0" w:color="auto"/>
          </w:divBdr>
          <w:divsChild>
            <w:div w:id="681053761">
              <w:marLeft w:val="0"/>
              <w:marRight w:val="0"/>
              <w:marTop w:val="0"/>
              <w:marBottom w:val="0"/>
              <w:divBdr>
                <w:top w:val="none" w:sz="0" w:space="0" w:color="auto"/>
                <w:left w:val="none" w:sz="0" w:space="0" w:color="auto"/>
                <w:bottom w:val="none" w:sz="0" w:space="0" w:color="auto"/>
                <w:right w:val="none" w:sz="0" w:space="0" w:color="auto"/>
              </w:divBdr>
              <w:divsChild>
                <w:div w:id="1485656034">
                  <w:marLeft w:val="0"/>
                  <w:marRight w:val="0"/>
                  <w:marTop w:val="0"/>
                  <w:marBottom w:val="0"/>
                  <w:divBdr>
                    <w:top w:val="none" w:sz="0" w:space="0" w:color="auto"/>
                    <w:left w:val="none" w:sz="0" w:space="0" w:color="auto"/>
                    <w:bottom w:val="none" w:sz="0" w:space="0" w:color="auto"/>
                    <w:right w:val="none" w:sz="0" w:space="0" w:color="auto"/>
                  </w:divBdr>
                  <w:divsChild>
                    <w:div w:id="20056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864811">
      <w:bodyDiv w:val="1"/>
      <w:marLeft w:val="0"/>
      <w:marRight w:val="0"/>
      <w:marTop w:val="0"/>
      <w:marBottom w:val="0"/>
      <w:divBdr>
        <w:top w:val="none" w:sz="0" w:space="0" w:color="auto"/>
        <w:left w:val="none" w:sz="0" w:space="0" w:color="auto"/>
        <w:bottom w:val="none" w:sz="0" w:space="0" w:color="auto"/>
        <w:right w:val="none" w:sz="0" w:space="0" w:color="auto"/>
      </w:divBdr>
      <w:divsChild>
        <w:div w:id="1720857261">
          <w:marLeft w:val="0"/>
          <w:marRight w:val="0"/>
          <w:marTop w:val="0"/>
          <w:marBottom w:val="0"/>
          <w:divBdr>
            <w:top w:val="none" w:sz="0" w:space="0" w:color="auto"/>
            <w:left w:val="none" w:sz="0" w:space="0" w:color="auto"/>
            <w:bottom w:val="none" w:sz="0" w:space="0" w:color="auto"/>
            <w:right w:val="none" w:sz="0" w:space="0" w:color="auto"/>
          </w:divBdr>
          <w:divsChild>
            <w:div w:id="2017726571">
              <w:marLeft w:val="0"/>
              <w:marRight w:val="0"/>
              <w:marTop w:val="0"/>
              <w:marBottom w:val="0"/>
              <w:divBdr>
                <w:top w:val="none" w:sz="0" w:space="0" w:color="auto"/>
                <w:left w:val="none" w:sz="0" w:space="0" w:color="auto"/>
                <w:bottom w:val="none" w:sz="0" w:space="0" w:color="auto"/>
                <w:right w:val="none" w:sz="0" w:space="0" w:color="auto"/>
              </w:divBdr>
              <w:divsChild>
                <w:div w:id="203904736">
                  <w:marLeft w:val="0"/>
                  <w:marRight w:val="0"/>
                  <w:marTop w:val="0"/>
                  <w:marBottom w:val="0"/>
                  <w:divBdr>
                    <w:top w:val="none" w:sz="0" w:space="0" w:color="auto"/>
                    <w:left w:val="none" w:sz="0" w:space="0" w:color="auto"/>
                    <w:bottom w:val="none" w:sz="0" w:space="0" w:color="auto"/>
                    <w:right w:val="none" w:sz="0" w:space="0" w:color="auto"/>
                  </w:divBdr>
                  <w:divsChild>
                    <w:div w:id="89234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ref.ly/logosres/anch?ref=VolumePage.V+3%2c+p+1128&amp;off=6348&amp;ctx=9%3b+cf.+119:153%E2%80%9359).+~Since+God+requites+a" TargetMode="External"/><Relationship Id="rId3" Type="http://schemas.openxmlformats.org/officeDocument/2006/relationships/hyperlink" Target="https://ref.ly/logosres/anch?ref=VolumePage.V+3%2c+p+1128&amp;off=4262&amp;ctx=cf.+Exod+18:21%E2%80%9323).+~In+this+light%2c+the+s" TargetMode="External"/><Relationship Id="rId7" Type="http://schemas.openxmlformats.org/officeDocument/2006/relationships/hyperlink" Target="https://ref.ly/logosres/anch?ref=VolumePage.V+3%2c+p+1128&amp;off=5347&amp;ctx=a+normal+good+life.+~When+they+sold+their" TargetMode="External"/><Relationship Id="rId2" Type="http://schemas.openxmlformats.org/officeDocument/2006/relationships/hyperlink" Target="https://ref.ly/logosres/anch?ref=VolumePage.V+3%2c+p+1128&amp;off=1518&amp;ctx=tributes+(Ps+97:2).+~In+several+biblical+" TargetMode="External"/><Relationship Id="rId1" Type="http://schemas.openxmlformats.org/officeDocument/2006/relationships/hyperlink" Target="https://ref.ly/logosres/anch?ref=VolumePage.V+3%2c+p+1128&amp;off=118&amp;ctx=n+a+forensic+sense%2c+~there+is+strong+evid" TargetMode="External"/><Relationship Id="rId6" Type="http://schemas.openxmlformats.org/officeDocument/2006/relationships/hyperlink" Target="https://ref.ly/logosres/anch?ref=VolumePage.V+3%2c+p+1128&amp;off=5738&amp;ctx=r+5:28).+Therefore%2c+~justice+(mis%CC%8Cpa%CC%84t%CC%A3)+" TargetMode="External"/><Relationship Id="rId5" Type="http://schemas.openxmlformats.org/officeDocument/2006/relationships/hyperlink" Target="https://ref.ly/logosres/anch?ref=VolumePage.V+3%2c+p+1128&amp;off=4921&amp;ctx=elation+to+the+Poor%0a~In+several+biblical+" TargetMode="External"/><Relationship Id="rId4" Type="http://schemas.openxmlformats.org/officeDocument/2006/relationships/hyperlink" Target="https://ref.ly/logosres/anch?ref=VolumePage.V+3%2c+p+1128&amp;off=4584&amp;ctx=d+peace+(s%CC%8Ca%CC%84lo%CC%82m).+~In+peacetime%2c+the+ju" TargetMode="External"/><Relationship Id="rId9" Type="http://schemas.openxmlformats.org/officeDocument/2006/relationships/hyperlink" Target="https://ref.ly/logosres/anch?ref=VolumePage.V+3%2c+p+1129&amp;off=0&amp;ctx=usness+(Ps+94:1%E2%80%933).+~God+judges+in+or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ED19B-41A9-C74E-A6AC-BDB394994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4</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18</cp:revision>
  <dcterms:created xsi:type="dcterms:W3CDTF">2020-11-03T07:55:00Z</dcterms:created>
  <dcterms:modified xsi:type="dcterms:W3CDTF">2020-11-23T05:31:00Z</dcterms:modified>
</cp:coreProperties>
</file>