
<file path=[Content_Types].xml><?xml version="1.0" encoding="utf-8"?>
<Types xmlns="http://schemas.openxmlformats.org/package/2006/content-types">
  <Default Extension="xml" ContentType="application/xml"/>
  <Default Extension="rels" ContentType="application/vnd.openxmlformats-package.relationships+xml"/>
  <Override PartName="/docProps/app.xml" ContentType="application/vnd.openxmlformats-officedocument.extended-properties+xml"/>
  <Override PartName="/word/settings.xml" ContentType="application/vnd.openxmlformats-officedocument.wordprocessingml.settings+xml"/>
  <Override PartName="/docProps/core.xml" ContentType="application/vnd.openxmlformats-package.core-properties+xml"/>
  <Override PartName="/word/fontTable.xml" ContentType="application/vnd.openxmlformats-officedocument.wordprocessingml.fontTable+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word/theme/theme1.xml" ContentType="application/vnd.openxmlformats-officedocument.theme+xml"/>
  <Override PartName="/word/document.xml" ContentType="application/vnd.openxmlformats-officedocument.wordprocessingml.document.main+xml"/>
</Types>
</file>

<file path=_rels/.rels><?xml version="1.0" encoding="UTF-8"?>
<Relationships xmlns="http://schemas.openxmlformats.org/package/2006/relationships"><Relationship Id="rId2" Type="http://schemas.openxmlformats.org/package/2006/relationships/metadata/core-properties" Target="docProps/core.xml"/><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mc:Ignorable="w14 wp14">
  <w:body>
    <w:p>
      <w:pPr>
        <w:pStyle w:val="style0"/>
        <w:spacing w:after="0" w:lineRule="auto" w:line="240"/>
        <w:jc w:val="center"/>
        <w:rPr>
          <w:rFonts w:ascii="Times New Roman" w:cs="Times New Roman" w:hAnsi="Times New Roman"/>
          <w:b/>
          <w:sz w:val="24"/>
          <w:szCs w:val="24"/>
        </w:rPr>
      </w:pPr>
      <w:r>
        <w:rPr>
          <w:rFonts w:ascii="Times New Roman" w:cs="Times New Roman" w:hAnsi="Times New Roman"/>
          <w:b/>
          <w:sz w:val="24"/>
          <w:szCs w:val="24"/>
        </w:rPr>
        <w:t>A SUMMARY OF THE DOCUMENT “</w:t>
      </w:r>
      <w:r>
        <w:rPr>
          <w:rFonts w:ascii="Times New Roman" w:cs="Times New Roman" w:hAnsi="Times New Roman"/>
          <w:b/>
          <w:i/>
          <w:sz w:val="24"/>
          <w:szCs w:val="24"/>
        </w:rPr>
        <w:t>UNITY AND/OR/IN DIVERSITY? A SURVEY OF RECENT NEW TESTAMENT THEOLOGIES.”</w:t>
      </w:r>
    </w:p>
    <w:p>
      <w:pPr>
        <w:pStyle w:val="style0"/>
        <w:spacing w:after="0" w:lineRule="auto" w:line="240"/>
        <w:ind w:firstLine="720"/>
        <w:jc w:val="center"/>
        <w:rPr>
          <w:rFonts w:ascii="Times New Roman" w:cs="Times New Roman" w:hAnsi="Times New Roman"/>
          <w:b/>
          <w:sz w:val="24"/>
          <w:szCs w:val="24"/>
        </w:rPr>
      </w:pPr>
    </w:p>
    <w:p>
      <w:pPr>
        <w:pStyle w:val="style0"/>
        <w:spacing w:after="0" w:lineRule="auto" w:line="240"/>
        <w:jc w:val="center"/>
        <w:rPr>
          <w:rFonts w:ascii="Times New Roman" w:cs="Times New Roman" w:hAnsi="Times New Roman"/>
          <w:b/>
          <w:sz w:val="24"/>
          <w:szCs w:val="24"/>
        </w:rPr>
      </w:pPr>
      <w:r>
        <w:rPr>
          <w:rFonts w:ascii="Times New Roman" w:cs="Times New Roman" w:hAnsi="Times New Roman"/>
          <w:b/>
          <w:sz w:val="24"/>
          <w:szCs w:val="24"/>
        </w:rPr>
        <w:t>BY;</w:t>
      </w:r>
    </w:p>
    <w:p>
      <w:pPr>
        <w:pStyle w:val="style0"/>
        <w:spacing w:after="0" w:lineRule="auto" w:line="240"/>
        <w:jc w:val="center"/>
        <w:rPr>
          <w:rFonts w:ascii="Times New Roman" w:cs="Times New Roman" w:hAnsi="Times New Roman"/>
          <w:b/>
          <w:sz w:val="24"/>
          <w:szCs w:val="24"/>
        </w:rPr>
      </w:pPr>
      <w:r>
        <w:rPr>
          <w:rFonts w:ascii="Times New Roman" w:cs="Times New Roman" w:hAnsi="Times New Roman"/>
          <w:b/>
          <w:sz w:val="24"/>
          <w:szCs w:val="24"/>
        </w:rPr>
        <w:t>NWAEZE ABEL AMUCHE (DI/875)</w:t>
      </w:r>
    </w:p>
    <w:p>
      <w:pPr>
        <w:pStyle w:val="style0"/>
        <w:spacing w:after="0" w:lineRule="auto" w:line="240"/>
        <w:jc w:val="both"/>
        <w:rPr>
          <w:rFonts w:ascii="Times New Roman" w:cs="Times New Roman" w:hAnsi="Times New Roman"/>
          <w:b/>
          <w:sz w:val="24"/>
          <w:szCs w:val="24"/>
        </w:rPr>
      </w:pPr>
    </w:p>
    <w:p>
      <w:pPr>
        <w:pStyle w:val="style0"/>
        <w:spacing w:after="0" w:lineRule="auto" w:line="240"/>
        <w:jc w:val="both"/>
        <w:rPr>
          <w:rFonts w:ascii="Times New Roman" w:cs="Times New Roman" w:hAnsi="Times New Roman"/>
          <w:b/>
          <w:sz w:val="24"/>
          <w:szCs w:val="24"/>
        </w:rPr>
      </w:pPr>
      <w:r>
        <w:rPr>
          <w:rFonts w:ascii="Times New Roman" w:cs="Times New Roman" w:hAnsi="Times New Roman"/>
          <w:b/>
          <w:sz w:val="24"/>
          <w:szCs w:val="24"/>
        </w:rPr>
        <w:t xml:space="preserve">COURSE CODE: </w:t>
      </w:r>
      <w:r>
        <w:rPr>
          <w:rFonts w:ascii="Times New Roman" w:cs="Times New Roman" w:hAnsi="Times New Roman"/>
          <w:sz w:val="24"/>
          <w:szCs w:val="24"/>
        </w:rPr>
        <w:t xml:space="preserve">DI/TH </w:t>
      </w:r>
      <w:r>
        <w:rPr>
          <w:rFonts w:ascii="Times New Roman" w:cs="Times New Roman" w:hAnsi="Times New Roman"/>
          <w:sz w:val="24"/>
          <w:szCs w:val="24"/>
        </w:rPr>
        <w:t>311</w:t>
      </w:r>
    </w:p>
    <w:p>
      <w:pPr>
        <w:pStyle w:val="style0"/>
        <w:spacing w:after="0" w:lineRule="auto" w:line="240"/>
        <w:jc w:val="both"/>
        <w:rPr>
          <w:rFonts w:ascii="Times New Roman" w:cs="Times New Roman" w:hAnsi="Times New Roman"/>
          <w:sz w:val="24"/>
          <w:szCs w:val="24"/>
        </w:rPr>
      </w:pPr>
      <w:r>
        <w:rPr>
          <w:rFonts w:ascii="Times New Roman" w:cs="Times New Roman" w:hAnsi="Times New Roman"/>
          <w:b/>
          <w:sz w:val="24"/>
          <w:szCs w:val="24"/>
        </w:rPr>
        <w:t xml:space="preserve">COURSE INSTRUCTOR: </w:t>
      </w:r>
      <w:r>
        <w:rPr>
          <w:rFonts w:ascii="Times New Roman" w:cs="Times New Roman" w:hAnsi="Times New Roman"/>
          <w:sz w:val="24"/>
          <w:szCs w:val="24"/>
        </w:rPr>
        <w:t>FR</w:t>
      </w:r>
      <w:r>
        <w:rPr>
          <w:rFonts w:ascii="Times New Roman" w:cs="Times New Roman" w:hAnsi="Times New Roman"/>
          <w:b/>
          <w:sz w:val="24"/>
          <w:szCs w:val="24"/>
        </w:rPr>
        <w:t xml:space="preserve">. </w:t>
      </w:r>
      <w:r>
        <w:rPr>
          <w:rFonts w:ascii="Times New Roman" w:cs="Times New Roman" w:hAnsi="Times New Roman"/>
          <w:sz w:val="24"/>
          <w:szCs w:val="24"/>
        </w:rPr>
        <w:t xml:space="preserve">PROF. </w:t>
      </w:r>
      <w:r>
        <w:rPr>
          <w:rFonts w:ascii="Times New Roman" w:cs="Times New Roman" w:hAnsi="Times New Roman"/>
          <w:sz w:val="24"/>
          <w:szCs w:val="24"/>
        </w:rPr>
        <w:t>GILBERT MUNANA, OP</w:t>
      </w:r>
    </w:p>
    <w:p>
      <w:pPr>
        <w:pStyle w:val="style0"/>
        <w:spacing w:after="0" w:lineRule="auto" w:line="240"/>
        <w:jc w:val="both"/>
        <w:rPr>
          <w:rFonts w:ascii="Times New Roman" w:cs="Times New Roman" w:hAnsi="Times New Roman"/>
          <w:sz w:val="24"/>
          <w:szCs w:val="24"/>
        </w:rPr>
      </w:pPr>
    </w:p>
    <w:p>
      <w:pPr>
        <w:pStyle w:val="style0"/>
        <w:spacing w:after="0" w:lineRule="auto" w:line="240"/>
        <w:jc w:val="both"/>
        <w:rPr>
          <w:rFonts w:ascii="Times New Roman" w:cs="Times New Roman" w:hAnsi="Times New Roman"/>
          <w:b/>
          <w:sz w:val="24"/>
          <w:szCs w:val="24"/>
        </w:rPr>
      </w:pPr>
      <w:r>
        <w:rPr>
          <w:rFonts w:ascii="Times New Roman" w:cs="Times New Roman" w:hAnsi="Times New Roman"/>
          <w:b/>
          <w:sz w:val="24"/>
          <w:szCs w:val="24"/>
        </w:rPr>
        <w:t>INTRODUCTION</w:t>
      </w:r>
    </w:p>
    <w:p>
      <w:pPr>
        <w:pStyle w:val="style0"/>
        <w:spacing w:after="0" w:lineRule="auto" w:line="240"/>
        <w:jc w:val="both"/>
        <w:rPr>
          <w:rFonts w:ascii="Times New Roman" w:cs="Times New Roman" w:hAnsi="Times New Roman"/>
          <w:sz w:val="24"/>
          <w:szCs w:val="24"/>
        </w:rPr>
      </w:pPr>
      <w:r>
        <w:rPr>
          <w:rFonts w:ascii="Times New Roman" w:cs="Times New Roman" w:hAnsi="Times New Roman"/>
          <w:sz w:val="24"/>
          <w:szCs w:val="24"/>
        </w:rPr>
        <w:t xml:space="preserve">       It is without</w:t>
      </w:r>
      <w:r>
        <w:rPr>
          <w:rFonts w:ascii="Times New Roman" w:cs="Times New Roman" w:hAnsi="Times New Roman"/>
          <w:sz w:val="24"/>
          <w:szCs w:val="24"/>
        </w:rPr>
        <w:t xml:space="preserve"> doubt that there have been a lot of publications in the recent times in the</w:t>
      </w:r>
      <w:r>
        <w:rPr>
          <w:rFonts w:ascii="Times New Roman" w:cs="Times New Roman" w:hAnsi="Times New Roman"/>
          <w:sz w:val="24"/>
          <w:szCs w:val="24"/>
        </w:rPr>
        <w:t xml:space="preserve"> area of New Testament Theology in</w:t>
      </w:r>
      <w:r>
        <w:rPr>
          <w:rFonts w:ascii="Times New Roman" w:cs="Times New Roman" w:hAnsi="Times New Roman"/>
          <w:sz w:val="24"/>
          <w:szCs w:val="24"/>
        </w:rPr>
        <w:t xml:space="preserve"> a bit to ascertain the unity and</w:t>
      </w:r>
      <w:r>
        <w:rPr>
          <w:rFonts w:ascii="Times New Roman" w:cs="Times New Roman" w:hAnsi="Times New Roman"/>
          <w:sz w:val="24"/>
          <w:szCs w:val="24"/>
        </w:rPr>
        <w:t xml:space="preserve"> diversity of NTT. However, the case here remains that despite these numerous publications there is still not an articulated publication that does </w:t>
      </w:r>
      <w:r>
        <w:rPr>
          <w:rFonts w:ascii="Times New Roman" w:cs="Times New Roman" w:hAnsi="Times New Roman"/>
          <w:sz w:val="24"/>
          <w:szCs w:val="24"/>
        </w:rPr>
        <w:t xml:space="preserve">a general agreeable </w:t>
      </w:r>
      <w:r>
        <w:rPr>
          <w:rFonts w:ascii="Times New Roman" w:cs="Times New Roman" w:hAnsi="Times New Roman"/>
          <w:sz w:val="24"/>
          <w:szCs w:val="24"/>
        </w:rPr>
        <w:t>justice to the unifying narrative structure of the NT message while concurrently taking account of exceptional contribution of each NT d</w:t>
      </w:r>
      <w:r>
        <w:rPr>
          <w:rFonts w:ascii="Times New Roman" w:cs="Times New Roman" w:hAnsi="Times New Roman"/>
          <w:sz w:val="24"/>
          <w:szCs w:val="24"/>
        </w:rPr>
        <w:t>ocument.</w:t>
      </w:r>
    </w:p>
    <w:p>
      <w:pPr>
        <w:pStyle w:val="style0"/>
        <w:spacing w:after="0" w:lineRule="auto" w:line="240"/>
        <w:jc w:val="both"/>
        <w:rPr>
          <w:rFonts w:ascii="Times New Roman" w:cs="Times New Roman" w:hAnsi="Times New Roman"/>
          <w:sz w:val="24"/>
          <w:szCs w:val="24"/>
        </w:rPr>
      </w:pPr>
    </w:p>
    <w:p>
      <w:pPr>
        <w:pStyle w:val="style0"/>
        <w:spacing w:after="0" w:lineRule="auto" w:line="240"/>
        <w:jc w:val="both"/>
        <w:rPr>
          <w:rFonts w:ascii="Times New Roman" w:cs="Times New Roman" w:hAnsi="Times New Roman"/>
          <w:b/>
          <w:sz w:val="24"/>
          <w:szCs w:val="24"/>
        </w:rPr>
      </w:pPr>
      <w:r>
        <w:rPr>
          <w:rFonts w:ascii="Times New Roman" w:cs="Times New Roman" w:hAnsi="Times New Roman"/>
          <w:b/>
          <w:sz w:val="24"/>
          <w:szCs w:val="24"/>
        </w:rPr>
        <w:t>CRITICAL SUMMARY</w:t>
      </w:r>
    </w:p>
    <w:p>
      <w:pPr>
        <w:pStyle w:val="style0"/>
        <w:spacing w:after="0" w:lineRule="auto" w:line="240"/>
        <w:jc w:val="both"/>
        <w:rPr>
          <w:rFonts w:ascii="Times New Roman" w:cs="Times New Roman" w:hAnsi="Times New Roman"/>
          <w:sz w:val="24"/>
          <w:szCs w:val="24"/>
        </w:rPr>
      </w:pPr>
      <w:r>
        <w:rPr>
          <w:rFonts w:ascii="Times New Roman" w:cs="Times New Roman" w:hAnsi="Times New Roman"/>
          <w:sz w:val="24"/>
          <w:szCs w:val="24"/>
        </w:rPr>
        <w:t xml:space="preserve">       First and most, let it be made clear that the field of NTT continues to grow with the publication of new titles, but it has not been without critics. Little wonder, </w:t>
      </w:r>
      <w:r>
        <w:rPr>
          <w:rFonts w:ascii="Times New Roman" w:cs="Times New Roman" w:hAnsi="Times New Roman"/>
          <w:sz w:val="24"/>
          <w:szCs w:val="24"/>
        </w:rPr>
        <w:tab/>
      </w:r>
      <w:r>
        <w:rPr>
          <w:rFonts w:ascii="Times New Roman" w:cs="Times New Roman" w:hAnsi="Times New Roman"/>
          <w:sz w:val="24"/>
          <w:szCs w:val="24"/>
        </w:rPr>
        <w:t xml:space="preserve">Heikki Raisanen has called on NT scholars to abandon theological studies, focusing instead on historical research into early Christian thought and critical reflection on the influence of the NT in modern society (Heikki Raisanen, </w:t>
      </w:r>
      <w:r>
        <w:rPr>
          <w:rFonts w:ascii="Times New Roman" w:cs="Times New Roman" w:hAnsi="Times New Roman"/>
          <w:i/>
          <w:sz w:val="24"/>
          <w:szCs w:val="24"/>
        </w:rPr>
        <w:t>Beyond New Testament Theology</w:t>
      </w:r>
      <w:r>
        <w:rPr>
          <w:rFonts w:ascii="Times New Roman" w:cs="Times New Roman" w:hAnsi="Times New Roman"/>
          <w:sz w:val="24"/>
          <w:szCs w:val="24"/>
        </w:rPr>
        <w:t>, 2</w:t>
      </w:r>
      <w:r>
        <w:rPr>
          <w:rFonts w:ascii="Times New Roman" w:cs="Times New Roman" w:hAnsi="Times New Roman"/>
          <w:sz w:val="24"/>
          <w:szCs w:val="24"/>
          <w:vertAlign w:val="superscript"/>
        </w:rPr>
        <w:t>nd</w:t>
      </w:r>
      <w:r>
        <w:rPr>
          <w:rFonts w:ascii="Times New Roman" w:cs="Times New Roman" w:hAnsi="Times New Roman"/>
          <w:sz w:val="24"/>
          <w:szCs w:val="24"/>
        </w:rPr>
        <w:t xml:space="preserve"> ed. </w:t>
      </w:r>
      <w:r>
        <w:rPr>
          <w:rFonts w:ascii="Times New Roman" w:cs="Times New Roman" w:hAnsi="Times New Roman"/>
          <w:sz w:val="24"/>
          <w:szCs w:val="24"/>
        </w:rPr>
        <w:t>(London: SCM Press, 2000.</w:t>
      </w:r>
      <w:r>
        <w:rPr>
          <w:rFonts w:ascii="Times New Roman" w:cs="Times New Roman" w:hAnsi="Times New Roman"/>
          <w:sz w:val="24"/>
          <w:szCs w:val="24"/>
        </w:rPr>
        <w:t xml:space="preserve"> p.8). He went further to argue that the work of the biblical scholar</w:t>
      </w:r>
      <w:r>
        <w:rPr>
          <w:rFonts w:ascii="Times New Roman" w:cs="Times New Roman" w:hAnsi="Times New Roman"/>
          <w:sz w:val="24"/>
          <w:szCs w:val="24"/>
        </w:rPr>
        <w:t>s</w:t>
      </w:r>
      <w:r>
        <w:rPr>
          <w:rFonts w:ascii="Times New Roman" w:cs="Times New Roman" w:hAnsi="Times New Roman"/>
          <w:sz w:val="24"/>
          <w:szCs w:val="24"/>
        </w:rPr>
        <w:t xml:space="preserve"> is not theological and normative, but strictly historical and descriptive. Yet again, Thomas Hatina argues, in order for NTT to find a wider audience or even to survive, especially in the West, its practitioners must “</w:t>
      </w:r>
      <w:r>
        <w:rPr>
          <w:rFonts w:ascii="Times New Roman" w:cs="Times New Roman" w:hAnsi="Times New Roman"/>
          <w:sz w:val="24"/>
          <w:szCs w:val="24"/>
        </w:rPr>
        <w:t>respectfully</w:t>
      </w:r>
      <w:r>
        <w:rPr>
          <w:rFonts w:ascii="Times New Roman" w:cs="Times New Roman" w:hAnsi="Times New Roman"/>
          <w:sz w:val="24"/>
          <w:szCs w:val="24"/>
        </w:rPr>
        <w:t xml:space="preserve"> and intelligently interact with both secularism and religious pluralism,” constructing their theologies in conversation with modern culture (Thomas R. Hatina, </w:t>
      </w:r>
      <w:r>
        <w:rPr>
          <w:rFonts w:ascii="Times New Roman" w:cs="Times New Roman" w:hAnsi="Times New Roman"/>
          <w:i/>
          <w:sz w:val="24"/>
          <w:szCs w:val="24"/>
        </w:rPr>
        <w:t>New Testament Theo</w:t>
      </w:r>
      <w:r>
        <w:rPr>
          <w:rFonts w:ascii="Times New Roman" w:cs="Times New Roman" w:hAnsi="Times New Roman"/>
          <w:i/>
          <w:sz w:val="24"/>
          <w:szCs w:val="24"/>
        </w:rPr>
        <w:t>logy and Its Quest for Relevance</w:t>
      </w:r>
      <w:r>
        <w:rPr>
          <w:rFonts w:ascii="Times New Roman" w:cs="Times New Roman" w:hAnsi="Times New Roman"/>
          <w:i/>
          <w:sz w:val="24"/>
          <w:szCs w:val="24"/>
        </w:rPr>
        <w:t>: Ancient Te</w:t>
      </w:r>
      <w:r>
        <w:rPr>
          <w:rFonts w:ascii="Times New Roman" w:cs="Times New Roman" w:hAnsi="Times New Roman"/>
          <w:i/>
          <w:sz w:val="24"/>
          <w:szCs w:val="24"/>
        </w:rPr>
        <w:t>xts and Modern Readers</w:t>
      </w:r>
      <w:r>
        <w:rPr>
          <w:rFonts w:ascii="Times New Roman" w:cs="Times New Roman" w:hAnsi="Times New Roman"/>
          <w:sz w:val="24"/>
          <w:szCs w:val="24"/>
        </w:rPr>
        <w:t xml:space="preserve"> (London: Bloomsbury, 2013. p. 44). Nonetheless, below shall </w:t>
      </w:r>
      <w:r>
        <w:rPr>
          <w:rFonts w:ascii="Times New Roman" w:cs="Times New Roman" w:hAnsi="Times New Roman"/>
          <w:sz w:val="24"/>
          <w:szCs w:val="24"/>
        </w:rPr>
        <w:t xml:space="preserve">come </w:t>
      </w:r>
      <w:r>
        <w:rPr>
          <w:rFonts w:ascii="Times New Roman" w:cs="Times New Roman" w:hAnsi="Times New Roman"/>
          <w:sz w:val="24"/>
          <w:szCs w:val="24"/>
        </w:rPr>
        <w:t xml:space="preserve">the many </w:t>
      </w:r>
      <w:r>
        <w:rPr>
          <w:rFonts w:ascii="Times New Roman" w:cs="Times New Roman" w:hAnsi="Times New Roman"/>
          <w:sz w:val="24"/>
          <w:szCs w:val="24"/>
        </w:rPr>
        <w:t>scholars’</w:t>
      </w:r>
      <w:r>
        <w:rPr>
          <w:rFonts w:ascii="Times New Roman" w:cs="Times New Roman" w:hAnsi="Times New Roman"/>
          <w:sz w:val="24"/>
          <w:szCs w:val="24"/>
        </w:rPr>
        <w:t xml:space="preserve"> divergences as it concerns suspected ruin of New Testament Theology.</w:t>
      </w:r>
    </w:p>
    <w:p>
      <w:pPr>
        <w:pStyle w:val="style0"/>
        <w:spacing w:after="0" w:lineRule="auto" w:line="240"/>
        <w:jc w:val="both"/>
        <w:rPr>
          <w:rFonts w:ascii="Times New Roman" w:cs="Times New Roman" w:hAnsi="Times New Roman"/>
          <w:sz w:val="24"/>
          <w:szCs w:val="24"/>
        </w:rPr>
      </w:pPr>
    </w:p>
    <w:p>
      <w:pPr>
        <w:pStyle w:val="style0"/>
        <w:spacing w:after="0" w:lineRule="auto" w:line="240"/>
        <w:jc w:val="both"/>
        <w:rPr>
          <w:rFonts w:ascii="Times New Roman" w:cs="Times New Roman" w:hAnsi="Times New Roman"/>
          <w:sz w:val="24"/>
          <w:szCs w:val="24"/>
        </w:rPr>
      </w:pPr>
      <w:r>
        <w:rPr>
          <w:rFonts w:ascii="Times New Roman" w:cs="Times New Roman" w:hAnsi="Times New Roman"/>
          <w:sz w:val="24"/>
          <w:szCs w:val="24"/>
        </w:rPr>
        <w:t xml:space="preserve">      </w:t>
      </w:r>
      <w:r>
        <w:rPr>
          <w:rFonts w:ascii="Times New Roman" w:cs="Times New Roman" w:hAnsi="Times New Roman"/>
          <w:b/>
          <w:sz w:val="24"/>
          <w:szCs w:val="24"/>
        </w:rPr>
        <w:t>Howard Marshall</w:t>
      </w:r>
      <w:r>
        <w:rPr>
          <w:rFonts w:ascii="Times New Roman" w:cs="Times New Roman" w:hAnsi="Times New Roman"/>
          <w:sz w:val="24"/>
          <w:szCs w:val="24"/>
        </w:rPr>
        <w:t>’s</w:t>
      </w:r>
      <w:r>
        <w:rPr>
          <w:rFonts w:ascii="Times New Roman" w:cs="Times New Roman" w:hAnsi="Times New Roman"/>
          <w:sz w:val="24"/>
          <w:szCs w:val="24"/>
        </w:rPr>
        <w:t xml:space="preserve"> </w:t>
      </w:r>
      <w:r>
        <w:rPr>
          <w:rFonts w:ascii="Times New Roman" w:cs="Times New Roman" w:hAnsi="Times New Roman"/>
          <w:b/>
          <w:sz w:val="24"/>
          <w:szCs w:val="24"/>
        </w:rPr>
        <w:t>New Testament Theology: Many Witnesses, One Gospel</w:t>
      </w:r>
      <w:r>
        <w:rPr>
          <w:rFonts w:ascii="Times New Roman" w:cs="Times New Roman" w:hAnsi="Times New Roman"/>
          <w:sz w:val="24"/>
          <w:szCs w:val="24"/>
        </w:rPr>
        <w:t>:</w:t>
      </w:r>
      <w:r>
        <w:rPr>
          <w:rFonts w:ascii="Times New Roman" w:cs="Times New Roman" w:hAnsi="Times New Roman"/>
          <w:sz w:val="24"/>
          <w:szCs w:val="24"/>
        </w:rPr>
        <w:t xml:space="preserve"> centres on the exposition of the theology of each book of the New Testament. Here he addresses four primary issues </w:t>
      </w:r>
      <w:r>
        <w:rPr>
          <w:rFonts w:ascii="Times New Roman" w:cs="Times New Roman" w:hAnsi="Times New Roman"/>
          <w:sz w:val="24"/>
          <w:szCs w:val="24"/>
        </w:rPr>
        <w:t>in showing the unity of NTT and at the same thing its diversity:</w:t>
      </w:r>
      <w:r>
        <w:rPr>
          <w:rFonts w:ascii="Times New Roman" w:cs="Times New Roman" w:hAnsi="Times New Roman"/>
          <w:sz w:val="24"/>
          <w:szCs w:val="24"/>
        </w:rPr>
        <w:t xml:space="preserve"> (a) t</w:t>
      </w:r>
      <w:r>
        <w:rPr>
          <w:rFonts w:ascii="Times New Roman" w:cs="Times New Roman" w:hAnsi="Times New Roman"/>
          <w:sz w:val="24"/>
          <w:szCs w:val="24"/>
        </w:rPr>
        <w:t>he place of the NT in its canonical context</w:t>
      </w:r>
      <w:r>
        <w:rPr>
          <w:rFonts w:ascii="Times New Roman" w:cs="Times New Roman" w:hAnsi="Times New Roman"/>
          <w:sz w:val="24"/>
          <w:szCs w:val="24"/>
        </w:rPr>
        <w:t>, (b) t</w:t>
      </w:r>
      <w:r>
        <w:rPr>
          <w:rFonts w:ascii="Times New Roman" w:cs="Times New Roman" w:hAnsi="Times New Roman"/>
          <w:sz w:val="24"/>
          <w:szCs w:val="24"/>
        </w:rPr>
        <w:t>he place of NTT</w:t>
      </w:r>
      <w:r>
        <w:rPr>
          <w:rFonts w:ascii="Times New Roman" w:cs="Times New Roman" w:hAnsi="Times New Roman"/>
          <w:sz w:val="24"/>
          <w:szCs w:val="24"/>
        </w:rPr>
        <w:t>, (c)</w:t>
      </w:r>
      <w:r>
        <w:rPr>
          <w:rFonts w:ascii="Times New Roman" w:cs="Times New Roman" w:hAnsi="Times New Roman"/>
          <w:sz w:val="24"/>
          <w:szCs w:val="24"/>
        </w:rPr>
        <w:t xml:space="preserve"> in the early church’s missionary context</w:t>
      </w:r>
      <w:r>
        <w:rPr>
          <w:rFonts w:ascii="Times New Roman" w:cs="Times New Roman" w:hAnsi="Times New Roman"/>
          <w:sz w:val="24"/>
          <w:szCs w:val="24"/>
        </w:rPr>
        <w:t>, (d) t</w:t>
      </w:r>
      <w:r>
        <w:rPr>
          <w:rFonts w:ascii="Times New Roman" w:cs="Times New Roman" w:hAnsi="Times New Roman"/>
          <w:sz w:val="24"/>
          <w:szCs w:val="24"/>
        </w:rPr>
        <w:t>he distinctive theology of each NT book</w:t>
      </w:r>
      <w:r>
        <w:rPr>
          <w:rFonts w:ascii="Times New Roman" w:cs="Times New Roman" w:hAnsi="Times New Roman"/>
          <w:sz w:val="24"/>
          <w:szCs w:val="24"/>
        </w:rPr>
        <w:t>, and (e) t</w:t>
      </w:r>
      <w:r>
        <w:rPr>
          <w:rFonts w:ascii="Times New Roman" w:cs="Times New Roman" w:hAnsi="Times New Roman"/>
          <w:sz w:val="24"/>
          <w:szCs w:val="24"/>
        </w:rPr>
        <w:t>he theological unity of the NT as a whole</w:t>
      </w:r>
      <w:r>
        <w:rPr>
          <w:rFonts w:ascii="Times New Roman" w:cs="Times New Roman" w:hAnsi="Times New Roman"/>
          <w:sz w:val="24"/>
          <w:szCs w:val="24"/>
        </w:rPr>
        <w:t>.</w:t>
      </w:r>
    </w:p>
    <w:p>
      <w:pPr>
        <w:pStyle w:val="style0"/>
        <w:tabs>
          <w:tab w:val="left" w:leader="none" w:pos="3330"/>
        </w:tabs>
        <w:spacing w:after="0" w:lineRule="auto" w:line="240"/>
        <w:jc w:val="both"/>
        <w:rPr>
          <w:rFonts w:ascii="Times New Roman" w:cs="Times New Roman" w:hAnsi="Times New Roman"/>
          <w:sz w:val="24"/>
          <w:szCs w:val="24"/>
        </w:rPr>
      </w:pPr>
      <w:r>
        <w:rPr>
          <w:rFonts w:ascii="Times New Roman" w:cs="Times New Roman" w:hAnsi="Times New Roman"/>
          <w:sz w:val="24"/>
          <w:szCs w:val="24"/>
        </w:rPr>
        <w:t xml:space="preserve">     </w:t>
      </w:r>
      <w:r>
        <w:rPr>
          <w:rFonts w:ascii="Times New Roman" w:cs="Times New Roman" w:hAnsi="Times New Roman"/>
          <w:sz w:val="24"/>
          <w:szCs w:val="24"/>
        </w:rPr>
        <w:t>Similarly, a</w:t>
      </w:r>
      <w:r>
        <w:rPr>
          <w:rFonts w:ascii="Times New Roman" w:cs="Times New Roman" w:hAnsi="Times New Roman"/>
          <w:sz w:val="24"/>
          <w:szCs w:val="24"/>
        </w:rPr>
        <w:t xml:space="preserve">ccording to </w:t>
      </w:r>
      <w:r>
        <w:rPr>
          <w:rFonts w:ascii="Times New Roman" w:cs="Times New Roman" w:hAnsi="Times New Roman"/>
          <w:b/>
          <w:sz w:val="24"/>
          <w:szCs w:val="24"/>
        </w:rPr>
        <w:t>Frank Thielman’</w:t>
      </w:r>
      <w:r>
        <w:rPr>
          <w:rFonts w:ascii="Times New Roman" w:cs="Times New Roman" w:hAnsi="Times New Roman"/>
          <w:sz w:val="24"/>
          <w:szCs w:val="24"/>
        </w:rPr>
        <w:t>s</w:t>
      </w:r>
      <w:r>
        <w:rPr>
          <w:rFonts w:ascii="Times New Roman" w:cs="Times New Roman" w:hAnsi="Times New Roman"/>
          <w:sz w:val="24"/>
          <w:szCs w:val="24"/>
        </w:rPr>
        <w:t xml:space="preserve"> </w:t>
      </w:r>
      <w:r>
        <w:rPr>
          <w:rFonts w:ascii="Times New Roman" w:cs="Times New Roman" w:hAnsi="Times New Roman"/>
          <w:b/>
          <w:sz w:val="24"/>
          <w:szCs w:val="24"/>
        </w:rPr>
        <w:t>Theology of the New Testament: A Canonical and Synthetic Approach</w:t>
      </w:r>
      <w:r>
        <w:rPr>
          <w:rFonts w:ascii="Times New Roman" w:cs="Times New Roman" w:hAnsi="Times New Roman"/>
          <w:sz w:val="24"/>
          <w:szCs w:val="24"/>
        </w:rPr>
        <w:t>, He points out that the NT should speak for itself, thereby</w:t>
      </w:r>
      <w:r>
        <w:rPr>
          <w:rFonts w:ascii="Times New Roman" w:cs="Times New Roman" w:hAnsi="Times New Roman"/>
          <w:sz w:val="24"/>
          <w:szCs w:val="24"/>
        </w:rPr>
        <w:t>,</w:t>
      </w:r>
      <w:r>
        <w:rPr>
          <w:rFonts w:ascii="Times New Roman" w:cs="Times New Roman" w:hAnsi="Times New Roman"/>
          <w:sz w:val="24"/>
          <w:szCs w:val="24"/>
        </w:rPr>
        <w:t xml:space="preserve"> highlighting its unique theological contributions</w:t>
      </w:r>
      <w:r>
        <w:rPr>
          <w:rFonts w:ascii="Times New Roman" w:cs="Times New Roman" w:hAnsi="Times New Roman"/>
          <w:sz w:val="24"/>
          <w:szCs w:val="24"/>
        </w:rPr>
        <w:t>. His concern was to defend the uniqueness of each of the New Testament documents while at the same time demonstrating a fundamental unity across the NT canon. He concludes the book with a summary of broad themes, emphasizing the theological unity of the entire NT and they are: (a) the significance of Jesus, (b) faith as a response to Jesus, (c) the outpouring of God’s Spirit, (d) the church as the people of God, and (e) the consummation of all things.</w:t>
      </w:r>
    </w:p>
    <w:p>
      <w:pPr>
        <w:pStyle w:val="style0"/>
        <w:jc w:val="both"/>
        <w:rPr>
          <w:rFonts w:ascii="Times New Roman" w:cs="Times New Roman" w:hAnsi="Times New Roman"/>
          <w:sz w:val="24"/>
          <w:szCs w:val="24"/>
        </w:rPr>
      </w:pPr>
      <w:r>
        <w:rPr>
          <w:rFonts w:ascii="Times New Roman" w:cs="Times New Roman" w:hAnsi="Times New Roman"/>
          <w:sz w:val="24"/>
          <w:szCs w:val="24"/>
        </w:rPr>
        <w:t xml:space="preserve">       For </w:t>
      </w:r>
      <w:r>
        <w:rPr>
          <w:rFonts w:ascii="Times New Roman" w:cs="Times New Roman" w:hAnsi="Times New Roman"/>
          <w:b/>
          <w:sz w:val="24"/>
          <w:szCs w:val="24"/>
        </w:rPr>
        <w:t>Frank J. Matera</w:t>
      </w:r>
      <w:r>
        <w:rPr>
          <w:rFonts w:ascii="Times New Roman" w:cs="Times New Roman" w:hAnsi="Times New Roman"/>
          <w:sz w:val="24"/>
          <w:szCs w:val="24"/>
        </w:rPr>
        <w:t xml:space="preserve"> in his book, </w:t>
      </w:r>
      <w:r>
        <w:rPr>
          <w:rFonts w:ascii="Times New Roman" w:cs="Times New Roman" w:hAnsi="Times New Roman"/>
          <w:b/>
          <w:i/>
          <w:sz w:val="24"/>
          <w:szCs w:val="24"/>
        </w:rPr>
        <w:t>New Testament Theology: Exploring Diversity and Unity</w:t>
      </w:r>
      <w:r>
        <w:rPr>
          <w:rFonts w:ascii="Times New Roman" w:cs="Times New Roman" w:hAnsi="Times New Roman"/>
          <w:sz w:val="24"/>
          <w:szCs w:val="24"/>
        </w:rPr>
        <w:t>,</w:t>
      </w:r>
      <w:r>
        <w:rPr>
          <w:rFonts w:ascii="Times New Roman" w:cs="Times New Roman" w:hAnsi="Times New Roman"/>
          <w:sz w:val="24"/>
          <w:szCs w:val="24"/>
        </w:rPr>
        <w:t xml:space="preserve"> like Thielman and Marshall, he seeks to do justice to the diverse contributions of the various NT texts while showing that within this diversity there is a core theological unity.</w:t>
      </w:r>
      <w:r>
        <w:rPr>
          <w:rFonts w:ascii="Times New Roman" w:cs="Times New Roman" w:hAnsi="Times New Roman"/>
          <w:sz w:val="24"/>
          <w:szCs w:val="24"/>
        </w:rPr>
        <w:t xml:space="preserve"> He started with diversity and moves to unity. Matera identifies the NT’s key theological themes as: (a) humanity in need of salvation, (b) the bringer of salvation, (c) the community of the sanctified, (d) the moral life of the sanctified, and (e) the hope of the sanctified.</w:t>
      </w:r>
    </w:p>
    <w:p>
      <w:pPr>
        <w:pStyle w:val="style0"/>
        <w:jc w:val="both"/>
        <w:rPr>
          <w:rFonts w:ascii="Times New Roman" w:cs="Times New Roman" w:hAnsi="Times New Roman"/>
          <w:sz w:val="24"/>
          <w:szCs w:val="24"/>
        </w:rPr>
      </w:pPr>
      <w:r>
        <w:rPr>
          <w:rFonts w:ascii="Times New Roman" w:cs="Times New Roman" w:hAnsi="Times New Roman"/>
          <w:sz w:val="24"/>
          <w:szCs w:val="24"/>
        </w:rPr>
        <w:t xml:space="preserve">       According to </w:t>
      </w:r>
      <w:r>
        <w:rPr>
          <w:rFonts w:ascii="Times New Roman" w:cs="Times New Roman" w:hAnsi="Times New Roman"/>
          <w:b/>
          <w:sz w:val="24"/>
          <w:szCs w:val="24"/>
        </w:rPr>
        <w:t>Thomas R. Schreiner</w:t>
      </w:r>
      <w:r>
        <w:rPr>
          <w:rFonts w:ascii="Times New Roman" w:cs="Times New Roman" w:hAnsi="Times New Roman"/>
          <w:sz w:val="24"/>
          <w:szCs w:val="24"/>
        </w:rPr>
        <w:t xml:space="preserve"> in his </w:t>
      </w:r>
      <w:r>
        <w:rPr>
          <w:rFonts w:ascii="Times New Roman" w:cs="Times New Roman" w:hAnsi="Times New Roman"/>
          <w:b/>
          <w:sz w:val="24"/>
          <w:szCs w:val="24"/>
        </w:rPr>
        <w:t>New Testament Theology: Magnifying Christ in God</w:t>
      </w:r>
      <w:r>
        <w:rPr>
          <w:rFonts w:ascii="Times New Roman" w:cs="Times New Roman" w:hAnsi="Times New Roman"/>
          <w:sz w:val="24"/>
          <w:szCs w:val="24"/>
        </w:rPr>
        <w:t xml:space="preserve">, </w:t>
      </w:r>
      <w:r>
        <w:rPr>
          <w:rFonts w:ascii="Times New Roman" w:cs="Times New Roman" w:hAnsi="Times New Roman"/>
          <w:sz w:val="24"/>
          <w:szCs w:val="24"/>
        </w:rPr>
        <w:t>contrasting the scholars whose work have alrea</w:t>
      </w:r>
      <w:r>
        <w:rPr>
          <w:rFonts w:ascii="Times New Roman" w:cs="Times New Roman" w:hAnsi="Times New Roman"/>
          <w:sz w:val="24"/>
          <w:szCs w:val="24"/>
        </w:rPr>
        <w:t>dy been reviewed, he chooses</w:t>
      </w:r>
      <w:r>
        <w:rPr>
          <w:rFonts w:ascii="Times New Roman" w:cs="Times New Roman" w:hAnsi="Times New Roman"/>
          <w:sz w:val="24"/>
          <w:szCs w:val="24"/>
        </w:rPr>
        <w:t xml:space="preserve"> thematic approach, arguing that this will aid in understanding both the overall unity of the NT and the individual contributions of its authors. He argues that theology </w:t>
      </w:r>
      <w:r>
        <w:rPr>
          <w:rFonts w:ascii="Times New Roman" w:cs="Times New Roman" w:hAnsi="Times New Roman"/>
          <w:sz w:val="24"/>
          <w:szCs w:val="24"/>
        </w:rPr>
        <w:t>of NT is</w:t>
      </w:r>
      <w:r>
        <w:rPr>
          <w:rFonts w:ascii="Times New Roman" w:cs="Times New Roman" w:hAnsi="Times New Roman"/>
          <w:sz w:val="24"/>
          <w:szCs w:val="24"/>
        </w:rPr>
        <w:t xml:space="preserve"> God-focused, Christ-centred, and Spirit-saturated, but the work</w:t>
      </w:r>
      <w:r>
        <w:rPr>
          <w:rFonts w:ascii="Times New Roman" w:cs="Times New Roman" w:hAnsi="Times New Roman"/>
          <w:sz w:val="24"/>
          <w:szCs w:val="24"/>
        </w:rPr>
        <w:t xml:space="preserve"> of the Father, Son, and Holy S</w:t>
      </w:r>
      <w:r>
        <w:rPr>
          <w:rFonts w:ascii="Times New Roman" w:cs="Times New Roman" w:hAnsi="Times New Roman"/>
          <w:sz w:val="24"/>
          <w:szCs w:val="24"/>
        </w:rPr>
        <w:t xml:space="preserve">pirit must be understood along a salvation-historical </w:t>
      </w:r>
      <w:r>
        <w:rPr>
          <w:rFonts w:ascii="Times New Roman" w:cs="Times New Roman" w:hAnsi="Times New Roman"/>
          <w:sz w:val="24"/>
          <w:szCs w:val="24"/>
        </w:rPr>
        <w:t>timeline; that is, God’s promises are already fulfilled but not yet consummated in Christ Jesus</w:t>
      </w:r>
      <w:r>
        <w:rPr>
          <w:rFonts w:ascii="Times New Roman" w:cs="Times New Roman" w:hAnsi="Times New Roman"/>
          <w:sz w:val="24"/>
          <w:szCs w:val="24"/>
        </w:rPr>
        <w:t>.</w:t>
      </w:r>
      <w:r>
        <w:rPr>
          <w:rFonts w:ascii="Times New Roman" w:cs="Times New Roman" w:hAnsi="Times New Roman"/>
          <w:sz w:val="24"/>
          <w:szCs w:val="24"/>
        </w:rPr>
        <w:t xml:space="preserve"> Yet, he sees unity not only within the NT but also binding together the entire Christian Canon.</w:t>
      </w:r>
    </w:p>
    <w:p>
      <w:pPr>
        <w:pStyle w:val="style0"/>
        <w:jc w:val="both"/>
        <w:rPr>
          <w:rFonts w:ascii="Times New Roman" w:cs="Times New Roman" w:hAnsi="Times New Roman"/>
          <w:sz w:val="24"/>
          <w:szCs w:val="24"/>
        </w:rPr>
      </w:pPr>
      <w:r>
        <w:rPr>
          <w:rFonts w:ascii="Times New Roman" w:cs="Times New Roman" w:hAnsi="Times New Roman"/>
          <w:sz w:val="24"/>
          <w:szCs w:val="24"/>
        </w:rPr>
        <w:t xml:space="preserve">       However, </w:t>
      </w:r>
      <w:r>
        <w:rPr>
          <w:rFonts w:ascii="Times New Roman" w:cs="Times New Roman" w:hAnsi="Times New Roman"/>
          <w:b/>
          <w:sz w:val="24"/>
          <w:szCs w:val="24"/>
        </w:rPr>
        <w:t>Udo Schnelle</w:t>
      </w:r>
      <w:r>
        <w:rPr>
          <w:rFonts w:ascii="Times New Roman" w:cs="Times New Roman" w:hAnsi="Times New Roman"/>
          <w:sz w:val="24"/>
          <w:szCs w:val="24"/>
        </w:rPr>
        <w:t xml:space="preserve">, in his </w:t>
      </w:r>
      <w:r>
        <w:rPr>
          <w:rFonts w:ascii="Times New Roman" w:cs="Times New Roman" w:hAnsi="Times New Roman"/>
          <w:b/>
          <w:i/>
          <w:sz w:val="24"/>
          <w:szCs w:val="24"/>
        </w:rPr>
        <w:t>Theology of the New Testamen</w:t>
      </w:r>
      <w:r>
        <w:rPr>
          <w:rFonts w:ascii="Times New Roman" w:cs="Times New Roman" w:hAnsi="Times New Roman"/>
          <w:b/>
          <w:i/>
          <w:sz w:val="24"/>
          <w:szCs w:val="24"/>
        </w:rPr>
        <w:t>t</w:t>
      </w:r>
      <w:r>
        <w:rPr>
          <w:rFonts w:ascii="Times New Roman" w:cs="Times New Roman" w:hAnsi="Times New Roman"/>
          <w:sz w:val="24"/>
          <w:szCs w:val="24"/>
        </w:rPr>
        <w:t>, he has it that the task of a theology of the New Testament is to apprehend the NT authors’ achievements of meaning-formation and to present them in their theological, literary, and history-of- religion dimensions. That is by establishing a valid orientation to the world and to life. This approach of course raises a question of unity and diversity.</w:t>
      </w:r>
    </w:p>
    <w:p>
      <w:pPr>
        <w:pStyle w:val="style0"/>
        <w:jc w:val="both"/>
        <w:rPr>
          <w:rFonts w:ascii="Times New Roman" w:cs="Times New Roman" w:hAnsi="Times New Roman"/>
          <w:sz w:val="24"/>
          <w:szCs w:val="24"/>
        </w:rPr>
      </w:pPr>
      <w:r>
        <w:rPr>
          <w:rFonts w:ascii="Times New Roman" w:cs="Times New Roman" w:hAnsi="Times New Roman"/>
          <w:sz w:val="24"/>
          <w:szCs w:val="24"/>
        </w:rPr>
        <w:t xml:space="preserve">       Lastly, </w:t>
      </w:r>
      <w:r>
        <w:rPr>
          <w:rFonts w:ascii="Times New Roman" w:cs="Times New Roman" w:hAnsi="Times New Roman"/>
          <w:b/>
          <w:sz w:val="24"/>
          <w:szCs w:val="24"/>
        </w:rPr>
        <w:t>G.K. Beale</w:t>
      </w:r>
      <w:r>
        <w:rPr>
          <w:rFonts w:ascii="Times New Roman" w:cs="Times New Roman" w:hAnsi="Times New Roman"/>
          <w:sz w:val="24"/>
          <w:szCs w:val="24"/>
        </w:rPr>
        <w:t xml:space="preserve"> in his </w:t>
      </w:r>
      <w:r>
        <w:rPr>
          <w:rFonts w:ascii="Times New Roman" w:cs="Times New Roman" w:hAnsi="Times New Roman"/>
          <w:b/>
          <w:i/>
          <w:sz w:val="24"/>
          <w:szCs w:val="24"/>
        </w:rPr>
        <w:t>A New Testament Biblical Theology: the Unfolding of the Old Testament in the New</w:t>
      </w:r>
      <w:r>
        <w:rPr>
          <w:rFonts w:ascii="Times New Roman" w:cs="Times New Roman" w:hAnsi="Times New Roman"/>
          <w:sz w:val="24"/>
          <w:szCs w:val="24"/>
        </w:rPr>
        <w:t xml:space="preserve">, </w:t>
      </w:r>
      <w:r>
        <w:rPr>
          <w:rFonts w:ascii="Times New Roman" w:cs="Times New Roman" w:hAnsi="Times New Roman"/>
          <w:sz w:val="24"/>
          <w:szCs w:val="24"/>
        </w:rPr>
        <w:t>seeks to offer not merely a NT</w:t>
      </w:r>
      <w:r>
        <w:rPr>
          <w:rFonts w:ascii="Times New Roman" w:cs="Times New Roman" w:hAnsi="Times New Roman"/>
          <w:sz w:val="24"/>
          <w:szCs w:val="24"/>
        </w:rPr>
        <w:t xml:space="preserve"> theology but a NT biblical theology. He stresses that “one of the main goals of the work is to lay bare further the OT background for the theology of the NT. For Beale, the theological unity of the bible is to be found in its storylines of the OT and the NT and then to show how that of the NT is founded upon, flows out of, and transforms that of the OT. </w:t>
      </w:r>
    </w:p>
    <w:p>
      <w:pPr>
        <w:pStyle w:val="style0"/>
        <w:spacing w:after="0"/>
        <w:jc w:val="both"/>
        <w:rPr>
          <w:rFonts w:ascii="Times New Roman" w:cs="Times New Roman" w:hAnsi="Times New Roman"/>
          <w:b/>
          <w:sz w:val="24"/>
          <w:szCs w:val="24"/>
        </w:rPr>
      </w:pPr>
      <w:r>
        <w:rPr>
          <w:rFonts w:ascii="Times New Roman" w:cs="Times New Roman" w:hAnsi="Times New Roman"/>
          <w:b/>
          <w:sz w:val="24"/>
          <w:szCs w:val="24"/>
        </w:rPr>
        <w:t>CONCLUDING REMARK</w:t>
      </w:r>
    </w:p>
    <w:p>
      <w:pPr>
        <w:pStyle w:val="style0"/>
        <w:spacing w:after="0"/>
        <w:jc w:val="both"/>
        <w:rPr>
          <w:rFonts w:ascii="Times New Roman" w:cs="Times New Roman" w:hAnsi="Times New Roman"/>
          <w:sz w:val="24"/>
          <w:szCs w:val="24"/>
        </w:rPr>
      </w:pPr>
      <w:r>
        <w:rPr>
          <w:rFonts w:ascii="Times New Roman" w:cs="Times New Roman" w:hAnsi="Times New Roman"/>
          <w:sz w:val="24"/>
          <w:szCs w:val="24"/>
        </w:rPr>
        <w:t xml:space="preserve">       From the foregoing, it suffices to say, that there has been varied opinions by scholars of theology and</w:t>
      </w:r>
      <w:r>
        <w:rPr>
          <w:rFonts w:ascii="Times New Roman" w:cs="Times New Roman" w:hAnsi="Times New Roman"/>
          <w:sz w:val="24"/>
          <w:szCs w:val="24"/>
        </w:rPr>
        <w:t xml:space="preserve"> Bible on the issue of unity and diversity of NTT. Scholars like Marshall and Matera were able to highlight the importance of unity and diversity in the NTT through their subtitles. A scholar like Schnelle focuses more or less exclusively on the unity, while Schreiner and Beale accentuate unity with little regard to diversity. Then and still, those by Marshall, Matera, and Thielman – work from diversity to unity. Nonetheless, </w:t>
      </w:r>
      <w:r>
        <w:rPr>
          <w:rFonts w:ascii="Times New Roman" w:cs="Times New Roman" w:hAnsi="Times New Roman"/>
          <w:sz w:val="24"/>
          <w:szCs w:val="24"/>
        </w:rPr>
        <w:t>despite the differences, all of these works examined address the important issue, and plays an essential role in their approach and structure as they have it.</w:t>
      </w:r>
    </w:p>
    <w:p>
      <w:pPr>
        <w:pStyle w:val="style0"/>
        <w:jc w:val="both"/>
        <w:rPr>
          <w:rFonts w:ascii="Times New Roman" w:cs="Times New Roman" w:hAnsi="Times New Roman"/>
          <w:sz w:val="24"/>
          <w:szCs w:val="24"/>
        </w:rPr>
      </w:pPr>
      <w:r>
        <w:rPr>
          <w:rFonts w:ascii="Times New Roman" w:cs="Times New Roman" w:hAnsi="Times New Roman"/>
          <w:sz w:val="24"/>
          <w:szCs w:val="24"/>
        </w:rPr>
        <w:t xml:space="preserve">       Thus, it is recommended that future NTTs need to be able to express the unity of the NT through exact exegetical work that does not blunt its diversity thereby, finding its theological interconnectedness in its broad storyline.</w:t>
      </w:r>
    </w:p>
    <w:p>
      <w:pPr>
        <w:pStyle w:val="style0"/>
        <w:jc w:val="both"/>
        <w:rPr>
          <w:rFonts w:ascii="Times New Roman" w:cs="Times New Roman" w:hAnsi="Times New Roman"/>
          <w:sz w:val="24"/>
          <w:szCs w:val="24"/>
        </w:rPr>
      </w:pPr>
    </w:p>
    <w:p>
      <w:pPr>
        <w:pStyle w:val="style0"/>
        <w:jc w:val="both"/>
        <w:rPr>
          <w:rFonts w:ascii="Times New Roman" w:cs="Times New Roman" w:hAnsi="Times New Roman"/>
          <w:sz w:val="24"/>
          <w:szCs w:val="24"/>
        </w:rPr>
      </w:pPr>
    </w:p>
    <w:p>
      <w:pPr>
        <w:pStyle w:val="style0"/>
        <w:jc w:val="both"/>
        <w:rPr>
          <w:rFonts w:ascii="Times New Roman" w:cs="Times New Roman" w:hAnsi="Times New Roman"/>
          <w:sz w:val="24"/>
          <w:szCs w:val="24"/>
        </w:rPr>
      </w:pPr>
    </w:p>
    <w:p>
      <w:pPr>
        <w:pStyle w:val="style0"/>
        <w:jc w:val="both"/>
        <w:rPr>
          <w:rFonts w:ascii="Times New Roman" w:cs="Times New Roman" w:hAnsi="Times New Roman"/>
          <w:sz w:val="24"/>
          <w:szCs w:val="24"/>
        </w:rPr>
      </w:pPr>
    </w:p>
    <w:p>
      <w:pPr>
        <w:pStyle w:val="style0"/>
        <w:jc w:val="both"/>
        <w:rPr>
          <w:rFonts w:ascii="Times New Roman" w:cs="Times New Roman" w:hAnsi="Times New Roman"/>
          <w:sz w:val="24"/>
          <w:szCs w:val="24"/>
        </w:rPr>
      </w:pPr>
    </w:p>
    <w:sectPr>
      <w:pgSz w:w="11906" w:h="16838" w:orient="portrait"/>
      <w:pgMar w:top="1440" w:right="1440" w:bottom="1440" w:left="1440" w:header="709" w:footer="709" w:gutter="567"/>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altName w:val="Symbol"/>
    <w:panose1 w:val="05050102010007020507"/>
    <w:charset w:val="02"/>
    <w:family w:val="roman"/>
    <w:pitch w:val="variable"/>
    <w:sig w:usb0="00000000" w:usb1="10000000" w:usb2="00000000" w:usb3="00000000" w:csb0="80000000" w:csb1="00000000"/>
  </w:font>
  <w:font w:name="Times New Roman">
    <w:altName w:val="Times New Roman"/>
    <w:panose1 w:val="02020603050004020304"/>
    <w:charset w:val="00"/>
    <w:family w:val="roman"/>
    <w:pitch w:val="variable"/>
    <w:sig w:usb0="E0002AFF" w:usb1="C0007841" w:usb2="00000009" w:usb3="00000000" w:csb0="000001FF" w:csb1="00000000"/>
  </w:font>
  <w:font w:name="Courier New">
    <w:altName w:val="Courier New"/>
    <w:panose1 w:val="02070309020002020404"/>
    <w:charset w:val="00"/>
    <w:family w:val="modern"/>
    <w:pitch w:val="fixed"/>
    <w:sig w:usb0="E0002A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altName w:val="Calibri"/>
    <w:panose1 w:val="020f0502020002030204"/>
    <w:charset w:val="00"/>
    <w:family w:val="swiss"/>
    <w:pitch w:val="variable"/>
    <w:sig w:usb0="E10002FF" w:usb1="4000ACFF" w:usb2="00000009" w:usb3="00000000" w:csb0="0000019F" w:csb1="00000000"/>
  </w:font>
  <w:font w:name="Cambria">
    <w:altName w:val="Cambria"/>
    <w:panose1 w:val="02040503050004030204"/>
    <w:charset w:val="00"/>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A864AA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cs="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cs="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cs="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ocumentProtection w:enforcement="0"/>
  <w:defaultTabStop w:val="720"/>
  <w:drawingGridHorizontalSpacing w:val="110"/>
  <w:displayHorizontalDrawingGridEvery w:val="2"/>
  <w:displayVerticalDrawingGridEvery w:val="2"/>
  <w:characterSpacingControl w:val="doNotCompress"/>
  <w:compat/>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w="http://schemas.openxmlformats.org/wordprocessingml/2006/main">
  <w:docDefaults>
    <w:rPrDefault>
      <w:rPr>
        <w:rFonts w:ascii="Calibri" w:cs="宋体" w:eastAsia="Calibri" w:hAnsi="Calibri"/>
        <w:sz w:val="22"/>
        <w:szCs w:val="22"/>
        <w:lang w:val="en-GB" w:bidi="ar-SA" w:eastAsia="en-US"/>
      </w:rPr>
    </w:rPrDefault>
    <w:pPrDefault>
      <w:pPr>
        <w:spacing w:after="200" w:lineRule="auto" w:line="276"/>
      </w:pPr>
    </w:pPrDefault>
  </w:docDefaults>
  <w:style w:type="paragraph" w:default="1" w:styleId="style0">
    <w:name w:val="Normal"/>
    <w:next w:val="style0"/>
    <w:qFormat/>
    <w:pPr/>
  </w:style>
  <w:style w:type="character" w:default="1" w:styleId="style65">
    <w:name w:val="Default Paragraph Font"/>
    <w:next w:val="style65"/>
    <w:uiPriority w:val="1"/>
  </w:style>
  <w:style w:type="table" w:default="1" w:styleId="style105">
    <w:name w:val="Normal Table"/>
    <w:next w:val="style105"/>
    <w:qFormat/>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179">
    <w:name w:val="List Paragraph"/>
    <w:basedOn w:val="style0"/>
    <w:next w:val="style179"/>
    <w:qFormat/>
    <w:uiPriority w:val="34"/>
    <w:pPr>
      <w:ind w:left="720"/>
      <w:contextualSpacing/>
    </w:pPr>
    <w:rPr/>
  </w:style>
</w:styles>
</file>

<file path=word/_rels/document.xml.rels><?xml version="1.0" encoding="UTF-8"?>
<Relationships xmlns="http://schemas.openxmlformats.org/package/2006/relationships"><Relationship Id="rId2" Type="http://schemas.openxmlformats.org/officeDocument/2006/relationships/styles" Target="styles.xml"/><Relationship Id="rId3"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numbering" Target="numbering.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Words>1002</Words>
  <Characters>5068</Characters>
  <Application>WPS Office</Application>
  <DocSecurity>0</DocSecurity>
  <Paragraphs>28</Paragraphs>
  <ScaleCrop>false</ScaleCrop>
  <Company>Hewlett-Packard</Company>
  <LinksUpToDate>false</LinksUpToDate>
  <CharactersWithSpaces>6122</CharactersWithSpaces>
  <SharedDoc>false</SharedDoc>
  <HyperlinksChanged>false</HyperlinksChanged>
  <AppVersion>12.000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2020-11-25T20:25:21Z</dcterms:created>
  <dc:creator>A.A.M NWAEZE</dc:creator>
  <lastModifiedBy>TECNO Camon CX</lastModifiedBy>
  <dcterms:modified xsi:type="dcterms:W3CDTF">2020-11-25T20:25:21Z</dcterms:modified>
  <revision>11</revision>
</coreProperties>
</file>

<file path=docProps/custom.xml><?xml version="1.0" encoding="utf-8"?>
<Properties xmlns="http://schemas.openxmlformats.org/officeDocument/2006/custom-properties" xmlns:vt="http://schemas.openxmlformats.org/officeDocument/2006/docPropsVTypes"/>
</file>