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714D" w:rsidRPr="00055C6B" w:rsidRDefault="00E3714D" w:rsidP="000B292F">
      <w:pPr>
        <w:spacing w:line="240" w:lineRule="auto"/>
        <w:jc w:val="both"/>
        <w:rPr>
          <w:rFonts w:ascii="Times New Roman" w:hAnsi="Times New Roman" w:cs="Times New Roman"/>
          <w:b/>
          <w:sz w:val="24"/>
          <w:szCs w:val="24"/>
        </w:rPr>
      </w:pPr>
      <w:proofErr w:type="spellStart"/>
      <w:r w:rsidRPr="00055C6B">
        <w:rPr>
          <w:rFonts w:ascii="Times New Roman" w:hAnsi="Times New Roman" w:cs="Times New Roman"/>
          <w:b/>
          <w:sz w:val="24"/>
          <w:szCs w:val="24"/>
        </w:rPr>
        <w:t>Okonkwo</w:t>
      </w:r>
      <w:proofErr w:type="spellEnd"/>
      <w:r w:rsidRPr="00055C6B">
        <w:rPr>
          <w:rFonts w:ascii="Times New Roman" w:hAnsi="Times New Roman" w:cs="Times New Roman"/>
          <w:b/>
          <w:sz w:val="24"/>
          <w:szCs w:val="24"/>
        </w:rPr>
        <w:t xml:space="preserve"> Christopher U. </w:t>
      </w:r>
      <w:r w:rsidR="00263DC5">
        <w:rPr>
          <w:rFonts w:ascii="Times New Roman" w:hAnsi="Times New Roman" w:cs="Times New Roman"/>
          <w:b/>
          <w:sz w:val="24"/>
          <w:szCs w:val="24"/>
        </w:rPr>
        <w:t xml:space="preserve">                 </w:t>
      </w:r>
      <w:r w:rsidRPr="00055C6B">
        <w:rPr>
          <w:rFonts w:ascii="Times New Roman" w:hAnsi="Times New Roman" w:cs="Times New Roman"/>
          <w:b/>
          <w:sz w:val="24"/>
          <w:szCs w:val="24"/>
        </w:rPr>
        <w:t>Mat. Number: DI/933</w:t>
      </w:r>
    </w:p>
    <w:p w:rsidR="00E3714D" w:rsidRPr="00055C6B" w:rsidRDefault="00E3714D" w:rsidP="000B292F">
      <w:pPr>
        <w:spacing w:line="240" w:lineRule="auto"/>
        <w:jc w:val="both"/>
        <w:rPr>
          <w:rFonts w:ascii="Times New Roman" w:hAnsi="Times New Roman" w:cs="Times New Roman"/>
          <w:b/>
          <w:sz w:val="24"/>
          <w:szCs w:val="24"/>
        </w:rPr>
      </w:pPr>
      <w:r>
        <w:rPr>
          <w:rFonts w:ascii="Times New Roman" w:hAnsi="Times New Roman" w:cs="Times New Roman"/>
          <w:b/>
          <w:sz w:val="24"/>
          <w:szCs w:val="24"/>
        </w:rPr>
        <w:t>Course Code: TH 311 (Theology of the New Testament</w:t>
      </w:r>
      <w:r w:rsidRPr="00055C6B">
        <w:rPr>
          <w:rFonts w:ascii="Times New Roman" w:hAnsi="Times New Roman" w:cs="Times New Roman"/>
          <w:b/>
          <w:sz w:val="24"/>
          <w:szCs w:val="24"/>
        </w:rPr>
        <w:t>)</w:t>
      </w:r>
    </w:p>
    <w:p w:rsidR="00E3714D" w:rsidRPr="00E3714D" w:rsidRDefault="00E3714D" w:rsidP="000B292F">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Lecturer: Fr. Gilbert </w:t>
      </w:r>
      <w:proofErr w:type="spellStart"/>
      <w:r>
        <w:rPr>
          <w:rFonts w:ascii="Times New Roman" w:hAnsi="Times New Roman" w:cs="Times New Roman"/>
          <w:b/>
          <w:sz w:val="24"/>
          <w:szCs w:val="24"/>
        </w:rPr>
        <w:t>Munana</w:t>
      </w:r>
      <w:proofErr w:type="spellEnd"/>
    </w:p>
    <w:p w:rsidR="00B84D47" w:rsidRPr="000166E0" w:rsidRDefault="005E6AF2" w:rsidP="000B292F">
      <w:pPr>
        <w:spacing w:line="240" w:lineRule="auto"/>
        <w:jc w:val="both"/>
        <w:rPr>
          <w:rFonts w:ascii="Times New Roman" w:hAnsi="Times New Roman" w:cs="Times New Roman"/>
          <w:b/>
          <w:sz w:val="24"/>
          <w:szCs w:val="24"/>
        </w:rPr>
      </w:pPr>
      <w:r w:rsidRPr="000166E0">
        <w:rPr>
          <w:rFonts w:ascii="Times New Roman" w:hAnsi="Times New Roman" w:cs="Times New Roman"/>
          <w:b/>
          <w:sz w:val="24"/>
          <w:szCs w:val="24"/>
        </w:rPr>
        <w:t xml:space="preserve">Summary of Unity and /or/ Diversity? A Survey of Recent New Testament Theology </w:t>
      </w:r>
      <w:proofErr w:type="gramStart"/>
      <w:r w:rsidRPr="000166E0">
        <w:rPr>
          <w:rFonts w:ascii="Times New Roman" w:hAnsi="Times New Roman" w:cs="Times New Roman"/>
          <w:b/>
          <w:sz w:val="24"/>
          <w:szCs w:val="24"/>
        </w:rPr>
        <w:t>By</w:t>
      </w:r>
      <w:proofErr w:type="gramEnd"/>
      <w:r w:rsidRPr="000166E0">
        <w:rPr>
          <w:rFonts w:ascii="Times New Roman" w:hAnsi="Times New Roman" w:cs="Times New Roman"/>
          <w:b/>
          <w:sz w:val="24"/>
          <w:szCs w:val="24"/>
        </w:rPr>
        <w:t xml:space="preserve"> </w:t>
      </w:r>
      <w:proofErr w:type="spellStart"/>
      <w:r w:rsidRPr="000166E0">
        <w:rPr>
          <w:rFonts w:ascii="Times New Roman" w:hAnsi="Times New Roman" w:cs="Times New Roman"/>
          <w:b/>
          <w:sz w:val="24"/>
          <w:szCs w:val="24"/>
        </w:rPr>
        <w:t>Wendel</w:t>
      </w:r>
      <w:proofErr w:type="spellEnd"/>
      <w:r w:rsidRPr="000166E0">
        <w:rPr>
          <w:rFonts w:ascii="Times New Roman" w:hAnsi="Times New Roman" w:cs="Times New Roman"/>
          <w:b/>
          <w:sz w:val="24"/>
          <w:szCs w:val="24"/>
        </w:rPr>
        <w:t xml:space="preserve"> Sun.</w:t>
      </w:r>
    </w:p>
    <w:p w:rsidR="000166E0" w:rsidRDefault="000166E0" w:rsidP="000B292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Introduction</w:t>
      </w:r>
    </w:p>
    <w:p w:rsidR="005D49DE" w:rsidRDefault="001C5DC3" w:rsidP="000B292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It is obvious that the recent years</w:t>
      </w:r>
      <w:r w:rsidRPr="001C5DC3">
        <w:rPr>
          <w:rFonts w:ascii="Times New Roman" w:hAnsi="Times New Roman" w:cs="Times New Roman"/>
          <w:sz w:val="24"/>
          <w:szCs w:val="24"/>
        </w:rPr>
        <w:t xml:space="preserve"> witnessed an unprecedented explosion in the publication of New Testament theologies (NTT). This is likely due to a number of factors, including the growth of interest in biblical theology that moves beyond the mere historical</w:t>
      </w:r>
      <w:r>
        <w:rPr>
          <w:rFonts w:ascii="Times New Roman" w:hAnsi="Times New Roman" w:cs="Times New Roman"/>
          <w:sz w:val="24"/>
          <w:szCs w:val="24"/>
        </w:rPr>
        <w:t xml:space="preserve"> </w:t>
      </w:r>
      <w:r w:rsidRPr="001C5DC3">
        <w:rPr>
          <w:rFonts w:ascii="Times New Roman" w:hAnsi="Times New Roman" w:cs="Times New Roman"/>
          <w:sz w:val="24"/>
          <w:szCs w:val="24"/>
        </w:rPr>
        <w:t>grammatical investigation of the text and especially the surge of concern for the theologic</w:t>
      </w:r>
      <w:r>
        <w:rPr>
          <w:rFonts w:ascii="Times New Roman" w:hAnsi="Times New Roman" w:cs="Times New Roman"/>
          <w:sz w:val="24"/>
          <w:szCs w:val="24"/>
        </w:rPr>
        <w:t xml:space="preserve">al interpretation of Scripture. However, students of NTT should </w:t>
      </w:r>
      <w:r w:rsidRPr="001C5DC3">
        <w:rPr>
          <w:rFonts w:ascii="Times New Roman" w:hAnsi="Times New Roman" w:cs="Times New Roman"/>
          <w:sz w:val="24"/>
          <w:szCs w:val="24"/>
        </w:rPr>
        <w:t>be grateful for the multitude of options now available to them. Yet the proliferation of those options can make it difficult for those outside the discipline, and even scholarly insiders,</w:t>
      </w:r>
      <w:r>
        <w:rPr>
          <w:rFonts w:ascii="Times New Roman" w:hAnsi="Times New Roman" w:cs="Times New Roman"/>
          <w:sz w:val="24"/>
          <w:szCs w:val="24"/>
        </w:rPr>
        <w:t xml:space="preserve"> to stay current with research.  Meanwhile,</w:t>
      </w:r>
      <w:r w:rsidRPr="001C5DC3">
        <w:rPr>
          <w:rFonts w:ascii="Times New Roman" w:hAnsi="Times New Roman" w:cs="Times New Roman"/>
          <w:sz w:val="24"/>
          <w:szCs w:val="24"/>
        </w:rPr>
        <w:t xml:space="preserve"> recent contributions have been diverse in style as well as approach, one common feature is their attention to the issue of the</w:t>
      </w:r>
      <w:r>
        <w:rPr>
          <w:rFonts w:ascii="Times New Roman" w:hAnsi="Times New Roman" w:cs="Times New Roman"/>
          <w:sz w:val="24"/>
          <w:szCs w:val="24"/>
        </w:rPr>
        <w:t xml:space="preserve"> unity and diversity of the NT. Thus, t</w:t>
      </w:r>
      <w:r w:rsidRPr="001C5DC3">
        <w:rPr>
          <w:rFonts w:ascii="Times New Roman" w:hAnsi="Times New Roman" w:cs="Times New Roman"/>
          <w:sz w:val="24"/>
          <w:szCs w:val="24"/>
        </w:rPr>
        <w:t xml:space="preserve">he purpose of this article is to briefly survey some of the more important recent contributions to NTT, </w:t>
      </w:r>
      <w:r w:rsidR="005D49DE">
        <w:rPr>
          <w:rFonts w:ascii="Times New Roman" w:hAnsi="Times New Roman" w:cs="Times New Roman"/>
          <w:sz w:val="24"/>
          <w:szCs w:val="24"/>
        </w:rPr>
        <w:t>therefore, our main focus in this summary will be on some of this recent</w:t>
      </w:r>
      <w:r w:rsidR="002F28E3">
        <w:rPr>
          <w:rFonts w:ascii="Times New Roman" w:hAnsi="Times New Roman" w:cs="Times New Roman"/>
          <w:sz w:val="24"/>
          <w:szCs w:val="24"/>
        </w:rPr>
        <w:t xml:space="preserve"> individual’s</w:t>
      </w:r>
      <w:r w:rsidR="005D49DE">
        <w:rPr>
          <w:rFonts w:ascii="Times New Roman" w:hAnsi="Times New Roman" w:cs="Times New Roman"/>
          <w:sz w:val="24"/>
          <w:szCs w:val="24"/>
        </w:rPr>
        <w:t xml:space="preserve"> contributions to see the unity in diversity in NTT</w:t>
      </w:r>
      <w:r w:rsidR="002F28E3">
        <w:rPr>
          <w:rFonts w:ascii="Times New Roman" w:hAnsi="Times New Roman" w:cs="Times New Roman"/>
          <w:sz w:val="24"/>
          <w:szCs w:val="24"/>
        </w:rPr>
        <w:t>.</w:t>
      </w:r>
    </w:p>
    <w:p w:rsidR="002F28E3" w:rsidRPr="004B53B0" w:rsidRDefault="002F28E3" w:rsidP="000B292F">
      <w:pPr>
        <w:spacing w:after="0" w:line="240" w:lineRule="auto"/>
        <w:jc w:val="both"/>
        <w:rPr>
          <w:rFonts w:ascii="Times New Roman" w:hAnsi="Times New Roman" w:cs="Times New Roman"/>
          <w:b/>
          <w:sz w:val="24"/>
          <w:szCs w:val="24"/>
        </w:rPr>
      </w:pPr>
      <w:r w:rsidRPr="004B53B0">
        <w:rPr>
          <w:rFonts w:ascii="Times New Roman" w:hAnsi="Times New Roman" w:cs="Times New Roman"/>
          <w:b/>
          <w:sz w:val="24"/>
          <w:szCs w:val="24"/>
        </w:rPr>
        <w:t>Unity and Diversity in Recent New Testament Theologies</w:t>
      </w:r>
    </w:p>
    <w:p w:rsidR="002F28E3" w:rsidRDefault="002F28E3" w:rsidP="000B292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As the field of the NTT continues to grow, it has never been with critics. Among those who critique or criticized it are </w:t>
      </w:r>
      <w:proofErr w:type="spellStart"/>
      <w:r>
        <w:rPr>
          <w:rFonts w:ascii="Times New Roman" w:hAnsi="Times New Roman" w:cs="Times New Roman"/>
          <w:sz w:val="24"/>
          <w:szCs w:val="24"/>
        </w:rPr>
        <w:t>Haikki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Raisanen</w:t>
      </w:r>
      <w:proofErr w:type="spellEnd"/>
      <w:r>
        <w:rPr>
          <w:rFonts w:ascii="Times New Roman" w:hAnsi="Times New Roman" w:cs="Times New Roman"/>
          <w:sz w:val="24"/>
          <w:szCs w:val="24"/>
        </w:rPr>
        <w:t xml:space="preserve"> who called on the NT scholars to abandon theological and focus on historical research into early Christian thought and critical reflection on the influence of the NT in modern society. Seeking to resurrect the historical approach championed</w:t>
      </w:r>
      <w:r w:rsidR="004B53B0">
        <w:rPr>
          <w:rFonts w:ascii="Times New Roman" w:hAnsi="Times New Roman" w:cs="Times New Roman"/>
          <w:sz w:val="24"/>
          <w:szCs w:val="24"/>
        </w:rPr>
        <w:t xml:space="preserve"> by William </w:t>
      </w:r>
      <w:proofErr w:type="spellStart"/>
      <w:r w:rsidR="004B53B0">
        <w:rPr>
          <w:rFonts w:ascii="Times New Roman" w:hAnsi="Times New Roman" w:cs="Times New Roman"/>
          <w:sz w:val="24"/>
          <w:szCs w:val="24"/>
        </w:rPr>
        <w:t>Wrede</w:t>
      </w:r>
      <w:proofErr w:type="spellEnd"/>
      <w:r w:rsidR="004B53B0">
        <w:rPr>
          <w:rFonts w:ascii="Times New Roman" w:hAnsi="Times New Roman" w:cs="Times New Roman"/>
          <w:sz w:val="24"/>
          <w:szCs w:val="24"/>
        </w:rPr>
        <w:t xml:space="preserve"> and others, </w:t>
      </w:r>
      <w:proofErr w:type="spellStart"/>
      <w:r w:rsidR="004B53B0">
        <w:rPr>
          <w:rFonts w:ascii="Times New Roman" w:hAnsi="Times New Roman" w:cs="Times New Roman"/>
          <w:sz w:val="24"/>
          <w:szCs w:val="24"/>
        </w:rPr>
        <w:t>Raisanen</w:t>
      </w:r>
      <w:proofErr w:type="spellEnd"/>
      <w:r w:rsidR="004B53B0">
        <w:rPr>
          <w:rFonts w:ascii="Times New Roman" w:hAnsi="Times New Roman" w:cs="Times New Roman"/>
          <w:sz w:val="24"/>
          <w:szCs w:val="24"/>
        </w:rPr>
        <w:t xml:space="preserve"> holds that it was a “fatal mistake” for NT scholarship to move away from historical study and turn instead to theological concerns. He further argues that the work of the biblical scholar is not theological and normative but strictly historical and descriptive</w:t>
      </w:r>
      <w:r w:rsidR="0062505D">
        <w:rPr>
          <w:rFonts w:ascii="Times New Roman" w:hAnsi="Times New Roman" w:cs="Times New Roman"/>
          <w:sz w:val="24"/>
          <w:szCs w:val="24"/>
        </w:rPr>
        <w:t xml:space="preserve">. </w:t>
      </w:r>
      <w:proofErr w:type="spellStart"/>
      <w:r w:rsidR="0062505D">
        <w:rPr>
          <w:rFonts w:ascii="Times New Roman" w:hAnsi="Times New Roman" w:cs="Times New Roman"/>
          <w:sz w:val="24"/>
          <w:szCs w:val="24"/>
        </w:rPr>
        <w:t>Hatina</w:t>
      </w:r>
      <w:proofErr w:type="spellEnd"/>
      <w:r w:rsidR="0062505D">
        <w:rPr>
          <w:rFonts w:ascii="Times New Roman" w:hAnsi="Times New Roman" w:cs="Times New Roman"/>
          <w:sz w:val="24"/>
          <w:szCs w:val="24"/>
        </w:rPr>
        <w:t xml:space="preserve"> on the other hand, argued that the descriptive of NTT must set aside the quest for normative and focus on summarizing the diverse theological tenets of the NT’s authors. In other words, the practitioners must </w:t>
      </w:r>
      <w:r w:rsidR="00BB701C">
        <w:rPr>
          <w:rFonts w:ascii="Times New Roman" w:hAnsi="Times New Roman" w:cs="Times New Roman"/>
          <w:sz w:val="24"/>
          <w:szCs w:val="24"/>
        </w:rPr>
        <w:t>“</w:t>
      </w:r>
      <w:r w:rsidR="0062505D">
        <w:rPr>
          <w:rFonts w:ascii="Times New Roman" w:hAnsi="Times New Roman" w:cs="Times New Roman"/>
          <w:sz w:val="24"/>
          <w:szCs w:val="24"/>
        </w:rPr>
        <w:t>respectfully and intelligently interact with both secularism and religious plura</w:t>
      </w:r>
      <w:r w:rsidR="00BB701C">
        <w:rPr>
          <w:rFonts w:ascii="Times New Roman" w:hAnsi="Times New Roman" w:cs="Times New Roman"/>
          <w:sz w:val="24"/>
          <w:szCs w:val="24"/>
        </w:rPr>
        <w:t xml:space="preserve">lism”, constructing their theologies in conversation with modern culture. However, for both </w:t>
      </w:r>
      <w:proofErr w:type="spellStart"/>
      <w:r w:rsidR="00BB701C">
        <w:rPr>
          <w:rFonts w:ascii="Times New Roman" w:hAnsi="Times New Roman" w:cs="Times New Roman"/>
          <w:sz w:val="24"/>
          <w:szCs w:val="24"/>
        </w:rPr>
        <w:t>Raisanen</w:t>
      </w:r>
      <w:proofErr w:type="spellEnd"/>
      <w:r w:rsidR="00BB701C">
        <w:rPr>
          <w:rFonts w:ascii="Times New Roman" w:hAnsi="Times New Roman" w:cs="Times New Roman"/>
          <w:sz w:val="24"/>
          <w:szCs w:val="24"/>
        </w:rPr>
        <w:t xml:space="preserve"> and </w:t>
      </w:r>
      <w:proofErr w:type="spellStart"/>
      <w:r w:rsidR="00BB701C">
        <w:rPr>
          <w:rFonts w:ascii="Times New Roman" w:hAnsi="Times New Roman" w:cs="Times New Roman"/>
          <w:sz w:val="24"/>
          <w:szCs w:val="24"/>
        </w:rPr>
        <w:t>Hatina</w:t>
      </w:r>
      <w:proofErr w:type="spellEnd"/>
      <w:r w:rsidR="00BB701C">
        <w:rPr>
          <w:rFonts w:ascii="Times New Roman" w:hAnsi="Times New Roman" w:cs="Times New Roman"/>
          <w:sz w:val="24"/>
          <w:szCs w:val="24"/>
        </w:rPr>
        <w:t>, unity and diversity is a non-issue, since a unified NTT is neither desirable nor even possible.</w:t>
      </w:r>
    </w:p>
    <w:p w:rsidR="0072086B" w:rsidRPr="00CD5AFE" w:rsidRDefault="0072086B" w:rsidP="000B292F">
      <w:pPr>
        <w:spacing w:after="0" w:line="240" w:lineRule="auto"/>
        <w:jc w:val="both"/>
        <w:rPr>
          <w:rFonts w:ascii="Times New Roman" w:hAnsi="Times New Roman" w:cs="Times New Roman"/>
          <w:b/>
          <w:sz w:val="24"/>
          <w:szCs w:val="24"/>
        </w:rPr>
      </w:pPr>
      <w:r w:rsidRPr="00CD5AFE">
        <w:rPr>
          <w:rFonts w:ascii="Times New Roman" w:hAnsi="Times New Roman" w:cs="Times New Roman"/>
          <w:b/>
          <w:sz w:val="24"/>
          <w:szCs w:val="24"/>
        </w:rPr>
        <w:t>Howard Marshall, New Testament Theology: Many Witnesses, One Gospel</w:t>
      </w:r>
    </w:p>
    <w:p w:rsidR="0072086B" w:rsidRDefault="0072086B" w:rsidP="000B292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Here, Marshall addresses four primary issues: (1)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place of the N</w:t>
      </w:r>
      <w:r w:rsidR="00BB01A0">
        <w:rPr>
          <w:rFonts w:ascii="Times New Roman" w:hAnsi="Times New Roman" w:cs="Times New Roman"/>
          <w:sz w:val="24"/>
          <w:szCs w:val="24"/>
        </w:rPr>
        <w:t xml:space="preserve">T in its canonical context. (2) The place of NT in the early Church’s Missionary context. (3) The distinctive theology of each NT book. (4) The theological unity of the NT as a whole. Thus, Marshall’s argument centers on the fact that all the NT writers shared a common </w:t>
      </w:r>
      <w:r w:rsidR="00AA1BA6">
        <w:rPr>
          <w:rFonts w:ascii="Times New Roman" w:hAnsi="Times New Roman" w:cs="Times New Roman"/>
          <w:sz w:val="24"/>
          <w:szCs w:val="24"/>
        </w:rPr>
        <w:t xml:space="preserve">faith and a common purpose- </w:t>
      </w:r>
      <w:proofErr w:type="gramStart"/>
      <w:r w:rsidR="00AA1BA6">
        <w:rPr>
          <w:rFonts w:ascii="Times New Roman" w:hAnsi="Times New Roman" w:cs="Times New Roman"/>
          <w:sz w:val="24"/>
          <w:szCs w:val="24"/>
        </w:rPr>
        <w:t xml:space="preserve">The </w:t>
      </w:r>
      <w:r w:rsidR="00BB01A0">
        <w:rPr>
          <w:rFonts w:ascii="Times New Roman" w:hAnsi="Times New Roman" w:cs="Times New Roman"/>
          <w:sz w:val="24"/>
          <w:szCs w:val="24"/>
        </w:rPr>
        <w:t>believe</w:t>
      </w:r>
      <w:proofErr w:type="gramEnd"/>
      <w:r w:rsidR="00BB01A0">
        <w:rPr>
          <w:rFonts w:ascii="Times New Roman" w:hAnsi="Times New Roman" w:cs="Times New Roman"/>
          <w:sz w:val="24"/>
          <w:szCs w:val="24"/>
        </w:rPr>
        <w:t xml:space="preserve"> that Messiah had come for the whole world.</w:t>
      </w:r>
      <w:r>
        <w:rPr>
          <w:rFonts w:ascii="Times New Roman" w:hAnsi="Times New Roman" w:cs="Times New Roman"/>
          <w:sz w:val="24"/>
          <w:szCs w:val="24"/>
        </w:rPr>
        <w:t xml:space="preserve"> </w:t>
      </w:r>
      <w:r w:rsidR="00CD5AFE">
        <w:rPr>
          <w:rFonts w:ascii="Times New Roman" w:hAnsi="Times New Roman" w:cs="Times New Roman"/>
          <w:sz w:val="24"/>
          <w:szCs w:val="24"/>
        </w:rPr>
        <w:t>In other words, Marshall’s approach begins with diversity and moves toward unity: Meanwhile, for him, the various strands of NTT are tired together by the concept of mission. Above all, Marshall masterfully demonstrated the theological unity of the NT, placing its common theology in the context of believers’ shared mission.</w:t>
      </w:r>
    </w:p>
    <w:p w:rsidR="0068727D" w:rsidRPr="00605ADE" w:rsidRDefault="0068727D" w:rsidP="000B292F">
      <w:pPr>
        <w:spacing w:after="0" w:line="240" w:lineRule="auto"/>
        <w:jc w:val="both"/>
        <w:rPr>
          <w:rFonts w:ascii="Times New Roman" w:hAnsi="Times New Roman" w:cs="Times New Roman"/>
          <w:b/>
          <w:sz w:val="24"/>
          <w:szCs w:val="24"/>
        </w:rPr>
      </w:pPr>
      <w:r w:rsidRPr="00605ADE">
        <w:rPr>
          <w:rFonts w:ascii="Times New Roman" w:hAnsi="Times New Roman" w:cs="Times New Roman"/>
          <w:b/>
          <w:sz w:val="24"/>
          <w:szCs w:val="24"/>
        </w:rPr>
        <w:t xml:space="preserve">Frank </w:t>
      </w:r>
      <w:proofErr w:type="spellStart"/>
      <w:r w:rsidRPr="00605ADE">
        <w:rPr>
          <w:rFonts w:ascii="Times New Roman" w:hAnsi="Times New Roman" w:cs="Times New Roman"/>
          <w:b/>
          <w:sz w:val="24"/>
          <w:szCs w:val="24"/>
        </w:rPr>
        <w:t>Thielman</w:t>
      </w:r>
      <w:proofErr w:type="spellEnd"/>
      <w:r w:rsidRPr="00605ADE">
        <w:rPr>
          <w:rFonts w:ascii="Times New Roman" w:hAnsi="Times New Roman" w:cs="Times New Roman"/>
          <w:b/>
          <w:sz w:val="24"/>
          <w:szCs w:val="24"/>
        </w:rPr>
        <w:t>, Theology of the New Testament: A canonical and Synthetic Approach</w:t>
      </w:r>
    </w:p>
    <w:p w:rsidR="0068727D" w:rsidRDefault="0068727D" w:rsidP="000B292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Frank like</w:t>
      </w:r>
      <w:r w:rsidR="00605ADE">
        <w:rPr>
          <w:rFonts w:ascii="Times New Roman" w:hAnsi="Times New Roman" w:cs="Times New Roman"/>
          <w:sz w:val="24"/>
          <w:szCs w:val="24"/>
        </w:rPr>
        <w:t xml:space="preserve"> Marshall tried to defend the uniqueness of each of the NT documents while at the same time demonstrating a fundamental unity across the NT Canon. Though, his method differs from Marshall’s because he gives more attention to the historical background. He divided the main </w:t>
      </w:r>
      <w:r w:rsidR="00605ADE">
        <w:rPr>
          <w:rFonts w:ascii="Times New Roman" w:hAnsi="Times New Roman" w:cs="Times New Roman"/>
          <w:sz w:val="24"/>
          <w:szCs w:val="24"/>
        </w:rPr>
        <w:lastRenderedPageBreak/>
        <w:t>body of the work into three parts: (1) “The Gospels and Acts”, (2) “The Pauline letters” and (3) “The Non-Pauline letters and the Revelation of John”.</w:t>
      </w:r>
      <w:r w:rsidR="004E3087">
        <w:rPr>
          <w:rFonts w:ascii="Times New Roman" w:hAnsi="Times New Roman" w:cs="Times New Roman"/>
          <w:sz w:val="24"/>
          <w:szCs w:val="24"/>
        </w:rPr>
        <w:t xml:space="preserve"> Having conducted a thorough study of the theology of each individual book of the NT, he concludes the book with a summary of broad themes, emphasizing the theological unity of the entire NT. Finally, more than other writers of NTT, </w:t>
      </w:r>
      <w:proofErr w:type="spellStart"/>
      <w:r w:rsidR="004E3087">
        <w:rPr>
          <w:rFonts w:ascii="Times New Roman" w:hAnsi="Times New Roman" w:cs="Times New Roman"/>
          <w:sz w:val="24"/>
          <w:szCs w:val="24"/>
        </w:rPr>
        <w:t>Thielman</w:t>
      </w:r>
      <w:proofErr w:type="spellEnd"/>
      <w:r w:rsidR="004E3087">
        <w:rPr>
          <w:rFonts w:ascii="Times New Roman" w:hAnsi="Times New Roman" w:cs="Times New Roman"/>
          <w:sz w:val="24"/>
          <w:szCs w:val="24"/>
        </w:rPr>
        <w:t xml:space="preserve"> emphasizes the historical setting of each NT book and explains how this background influences its interpretation.</w:t>
      </w:r>
    </w:p>
    <w:p w:rsidR="004E3087" w:rsidRPr="004E3087" w:rsidRDefault="004E3087" w:rsidP="000B292F">
      <w:pPr>
        <w:spacing w:after="0" w:line="240" w:lineRule="auto"/>
        <w:jc w:val="both"/>
        <w:rPr>
          <w:rFonts w:ascii="Times New Roman" w:hAnsi="Times New Roman" w:cs="Times New Roman"/>
          <w:b/>
          <w:sz w:val="24"/>
          <w:szCs w:val="24"/>
        </w:rPr>
      </w:pPr>
      <w:r w:rsidRPr="004E3087">
        <w:rPr>
          <w:rFonts w:ascii="Times New Roman" w:hAnsi="Times New Roman" w:cs="Times New Roman"/>
          <w:b/>
          <w:sz w:val="24"/>
          <w:szCs w:val="24"/>
        </w:rPr>
        <w:t xml:space="preserve">Frank J. Matera, New Testament Theology: Explaining Diversity and Unity </w:t>
      </w:r>
    </w:p>
    <w:p w:rsidR="004E3087" w:rsidRDefault="004E3087" w:rsidP="000B292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Like Marshall and </w:t>
      </w:r>
      <w:proofErr w:type="spellStart"/>
      <w:r>
        <w:rPr>
          <w:rFonts w:ascii="Times New Roman" w:hAnsi="Times New Roman" w:cs="Times New Roman"/>
          <w:sz w:val="24"/>
          <w:szCs w:val="24"/>
        </w:rPr>
        <w:t>Thielman</w:t>
      </w:r>
      <w:proofErr w:type="spellEnd"/>
      <w:r>
        <w:rPr>
          <w:rFonts w:ascii="Times New Roman" w:hAnsi="Times New Roman" w:cs="Times New Roman"/>
          <w:sz w:val="24"/>
          <w:szCs w:val="24"/>
        </w:rPr>
        <w:t>, Frank starts with diversity and moves toward unity.</w:t>
      </w:r>
      <w:r w:rsidR="008810F1">
        <w:rPr>
          <w:rFonts w:ascii="Times New Roman" w:hAnsi="Times New Roman" w:cs="Times New Roman"/>
          <w:sz w:val="24"/>
          <w:szCs w:val="24"/>
        </w:rPr>
        <w:t xml:space="preserve"> However, he rejected a purely historical approach. Meanwhile, he divided his work into four main sections: “The Synoptic tradition”, “The Pauline Tradition”, “The </w:t>
      </w:r>
      <w:proofErr w:type="spellStart"/>
      <w:r w:rsidR="008810F1">
        <w:rPr>
          <w:rFonts w:ascii="Times New Roman" w:hAnsi="Times New Roman" w:cs="Times New Roman"/>
          <w:sz w:val="24"/>
          <w:szCs w:val="24"/>
        </w:rPr>
        <w:t>Johannine</w:t>
      </w:r>
      <w:proofErr w:type="spellEnd"/>
      <w:r w:rsidR="008810F1">
        <w:rPr>
          <w:rFonts w:ascii="Times New Roman" w:hAnsi="Times New Roman" w:cs="Times New Roman"/>
          <w:sz w:val="24"/>
          <w:szCs w:val="24"/>
        </w:rPr>
        <w:t xml:space="preserve"> Tradition”, and “Other Voices”. Above all however, for Frank, the diverse NT writings are held together by a common presupposed narrative. Hence he makes a valuable contribution to the discussion of</w:t>
      </w:r>
      <w:r w:rsidR="00043E84">
        <w:rPr>
          <w:rFonts w:ascii="Times New Roman" w:hAnsi="Times New Roman" w:cs="Times New Roman"/>
          <w:sz w:val="24"/>
          <w:szCs w:val="24"/>
        </w:rPr>
        <w:t xml:space="preserve"> unity and diversity by moving beyond merely identifying common themes seen throughout the NT to recognizing the common narrative glue that actually holds the NT together.</w:t>
      </w:r>
    </w:p>
    <w:p w:rsidR="00AC7B59" w:rsidRPr="00AC7B59" w:rsidRDefault="00043E84" w:rsidP="000B292F">
      <w:pPr>
        <w:spacing w:after="0" w:line="240" w:lineRule="auto"/>
        <w:jc w:val="both"/>
        <w:rPr>
          <w:rFonts w:ascii="Times New Roman" w:hAnsi="Times New Roman" w:cs="Times New Roman"/>
          <w:b/>
          <w:sz w:val="24"/>
          <w:szCs w:val="24"/>
        </w:rPr>
      </w:pPr>
      <w:r w:rsidRPr="00AC7B59">
        <w:rPr>
          <w:rFonts w:ascii="Times New Roman" w:hAnsi="Times New Roman" w:cs="Times New Roman"/>
          <w:b/>
          <w:sz w:val="24"/>
          <w:szCs w:val="24"/>
        </w:rPr>
        <w:t>Thomas R. Schre</w:t>
      </w:r>
      <w:r w:rsidR="00AC7B59" w:rsidRPr="00AC7B59">
        <w:rPr>
          <w:rFonts w:ascii="Times New Roman" w:hAnsi="Times New Roman" w:cs="Times New Roman"/>
          <w:b/>
          <w:sz w:val="24"/>
          <w:szCs w:val="24"/>
        </w:rPr>
        <w:t>iner, New Testament Theology; Magnifying God in Christ</w:t>
      </w:r>
    </w:p>
    <w:p w:rsidR="00043E84" w:rsidRDefault="009F4C45" w:rsidP="000B292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According to </w:t>
      </w:r>
      <w:proofErr w:type="spellStart"/>
      <w:r>
        <w:rPr>
          <w:rFonts w:ascii="Times New Roman" w:hAnsi="Times New Roman" w:cs="Times New Roman"/>
          <w:sz w:val="24"/>
          <w:szCs w:val="24"/>
        </w:rPr>
        <w:t>Wendel</w:t>
      </w:r>
      <w:proofErr w:type="spellEnd"/>
      <w:r>
        <w:rPr>
          <w:rFonts w:ascii="Times New Roman" w:hAnsi="Times New Roman" w:cs="Times New Roman"/>
          <w:sz w:val="24"/>
          <w:szCs w:val="24"/>
        </w:rPr>
        <w:t>, u</w:t>
      </w:r>
      <w:r w:rsidR="00AC7B59">
        <w:rPr>
          <w:rFonts w:ascii="Times New Roman" w:hAnsi="Times New Roman" w:cs="Times New Roman"/>
          <w:sz w:val="24"/>
          <w:szCs w:val="24"/>
        </w:rPr>
        <w:t>nlike other</w:t>
      </w:r>
      <w:r w:rsidR="00BE78B9">
        <w:rPr>
          <w:rFonts w:ascii="Times New Roman" w:hAnsi="Times New Roman" w:cs="Times New Roman"/>
          <w:sz w:val="24"/>
          <w:szCs w:val="24"/>
        </w:rPr>
        <w:t xml:space="preserve"> scholars, Schreiner opts for a thematic approach, arguing that this will aid in understanding both the overall unity of the NT and the individual contributions</w:t>
      </w:r>
      <w:r w:rsidR="004C3CA6">
        <w:rPr>
          <w:rFonts w:ascii="Times New Roman" w:hAnsi="Times New Roman" w:cs="Times New Roman"/>
          <w:sz w:val="24"/>
          <w:szCs w:val="24"/>
        </w:rPr>
        <w:t xml:space="preserve"> of</w:t>
      </w:r>
      <w:r w:rsidR="00BE78B9">
        <w:rPr>
          <w:rFonts w:ascii="Times New Roman" w:hAnsi="Times New Roman" w:cs="Times New Roman"/>
          <w:sz w:val="24"/>
          <w:szCs w:val="24"/>
        </w:rPr>
        <w:t xml:space="preserve"> its authors. Finally, Schreiner argues that “NT Theology is God-focus, Christ-centered, and Spirit-saturated, but the work of the Father, Son, and Spirit must be understood along a salvation-historical timeline, that is, God’s promises are already fulfilled but not yet consummated in Christ Jesus.</w:t>
      </w:r>
    </w:p>
    <w:p w:rsidR="00BE78B9" w:rsidRPr="004C3CA6" w:rsidRDefault="00BE78B9" w:rsidP="000B292F">
      <w:pPr>
        <w:spacing w:after="0" w:line="240" w:lineRule="auto"/>
        <w:jc w:val="both"/>
        <w:rPr>
          <w:rFonts w:ascii="Times New Roman" w:hAnsi="Times New Roman" w:cs="Times New Roman"/>
          <w:b/>
          <w:sz w:val="24"/>
          <w:szCs w:val="24"/>
        </w:rPr>
      </w:pPr>
      <w:proofErr w:type="spellStart"/>
      <w:r w:rsidRPr="004C3CA6">
        <w:rPr>
          <w:rFonts w:ascii="Times New Roman" w:hAnsi="Times New Roman" w:cs="Times New Roman"/>
          <w:b/>
          <w:sz w:val="24"/>
          <w:szCs w:val="24"/>
        </w:rPr>
        <w:t>Udo</w:t>
      </w:r>
      <w:proofErr w:type="spellEnd"/>
      <w:r w:rsidRPr="004C3CA6">
        <w:rPr>
          <w:rFonts w:ascii="Times New Roman" w:hAnsi="Times New Roman" w:cs="Times New Roman"/>
          <w:b/>
          <w:sz w:val="24"/>
          <w:szCs w:val="24"/>
        </w:rPr>
        <w:t xml:space="preserve"> </w:t>
      </w:r>
      <w:proofErr w:type="spellStart"/>
      <w:r w:rsidRPr="004C3CA6">
        <w:rPr>
          <w:rFonts w:ascii="Times New Roman" w:hAnsi="Times New Roman" w:cs="Times New Roman"/>
          <w:b/>
          <w:sz w:val="24"/>
          <w:szCs w:val="24"/>
        </w:rPr>
        <w:t>Schnelle</w:t>
      </w:r>
      <w:proofErr w:type="spellEnd"/>
      <w:r w:rsidRPr="004C3CA6">
        <w:rPr>
          <w:rFonts w:ascii="Times New Roman" w:hAnsi="Times New Roman" w:cs="Times New Roman"/>
          <w:b/>
          <w:sz w:val="24"/>
          <w:szCs w:val="24"/>
        </w:rPr>
        <w:t>, Theology of the New Testament.</w:t>
      </w:r>
    </w:p>
    <w:p w:rsidR="00C50FF8" w:rsidRDefault="00BE78B9" w:rsidP="000B292F">
      <w:pPr>
        <w:spacing w:after="0" w:line="24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Schnelle’s</w:t>
      </w:r>
      <w:proofErr w:type="spellEnd"/>
      <w:r>
        <w:rPr>
          <w:rFonts w:ascii="Times New Roman" w:hAnsi="Times New Roman" w:cs="Times New Roman"/>
          <w:sz w:val="24"/>
          <w:szCs w:val="24"/>
        </w:rPr>
        <w:t xml:space="preserve"> overall structure is unique as well in that it deals with historical, thematic, and theological concerns in the context </w:t>
      </w:r>
      <w:r w:rsidR="00C50FF8">
        <w:rPr>
          <w:rFonts w:ascii="Times New Roman" w:hAnsi="Times New Roman" w:cs="Times New Roman"/>
          <w:sz w:val="24"/>
          <w:szCs w:val="24"/>
        </w:rPr>
        <w:t>of a modified book-by-book analysis. He takes this approach because</w:t>
      </w:r>
      <w:r w:rsidR="00AF4795">
        <w:rPr>
          <w:rFonts w:ascii="Times New Roman" w:hAnsi="Times New Roman" w:cs="Times New Roman"/>
          <w:sz w:val="24"/>
          <w:szCs w:val="24"/>
        </w:rPr>
        <w:t xml:space="preserve"> he notes, “Jesus of Nazareth is the basis and beginning point of all NTT theology”.</w:t>
      </w:r>
    </w:p>
    <w:p w:rsidR="00AF4795" w:rsidRPr="00AF4795" w:rsidRDefault="00AF4795" w:rsidP="000B292F">
      <w:pPr>
        <w:spacing w:after="0" w:line="240" w:lineRule="auto"/>
        <w:jc w:val="both"/>
        <w:rPr>
          <w:rFonts w:ascii="Times New Roman" w:hAnsi="Times New Roman" w:cs="Times New Roman"/>
          <w:b/>
          <w:sz w:val="24"/>
          <w:szCs w:val="24"/>
        </w:rPr>
      </w:pPr>
      <w:r w:rsidRPr="00AF4795">
        <w:rPr>
          <w:rFonts w:ascii="Times New Roman" w:hAnsi="Times New Roman" w:cs="Times New Roman"/>
          <w:b/>
          <w:sz w:val="24"/>
          <w:szCs w:val="24"/>
        </w:rPr>
        <w:t xml:space="preserve">G.K. Beale, </w:t>
      </w:r>
      <w:proofErr w:type="gramStart"/>
      <w:r w:rsidRPr="00AF4795">
        <w:rPr>
          <w:rFonts w:ascii="Times New Roman" w:hAnsi="Times New Roman" w:cs="Times New Roman"/>
          <w:b/>
          <w:sz w:val="24"/>
          <w:szCs w:val="24"/>
        </w:rPr>
        <w:t>A</w:t>
      </w:r>
      <w:proofErr w:type="gramEnd"/>
      <w:r w:rsidRPr="00AF4795">
        <w:rPr>
          <w:rFonts w:ascii="Times New Roman" w:hAnsi="Times New Roman" w:cs="Times New Roman"/>
          <w:b/>
          <w:sz w:val="24"/>
          <w:szCs w:val="24"/>
        </w:rPr>
        <w:t xml:space="preserve"> New Testament Biblical Theology: The Unfolding of the Old Testament in the New</w:t>
      </w:r>
    </w:p>
    <w:p w:rsidR="00BE78B9" w:rsidRDefault="00AF4795" w:rsidP="000B292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Beale in his above work, offers us not merely a NT theology but a NT biblical theology. </w:t>
      </w:r>
      <w:proofErr w:type="spellStart"/>
      <w:r>
        <w:rPr>
          <w:rFonts w:ascii="Times New Roman" w:hAnsi="Times New Roman" w:cs="Times New Roman"/>
          <w:sz w:val="24"/>
          <w:szCs w:val="24"/>
        </w:rPr>
        <w:t>Bulding</w:t>
      </w:r>
      <w:proofErr w:type="spellEnd"/>
      <w:r>
        <w:rPr>
          <w:rFonts w:ascii="Times New Roman" w:hAnsi="Times New Roman" w:cs="Times New Roman"/>
          <w:sz w:val="24"/>
          <w:szCs w:val="24"/>
        </w:rPr>
        <w:t xml:space="preserve"> on the work of scholars such as Hans </w:t>
      </w:r>
      <w:proofErr w:type="spellStart"/>
      <w:r>
        <w:rPr>
          <w:rFonts w:ascii="Times New Roman" w:hAnsi="Times New Roman" w:cs="Times New Roman"/>
          <w:sz w:val="24"/>
          <w:szCs w:val="24"/>
        </w:rPr>
        <w:t>Hubner</w:t>
      </w:r>
      <w:proofErr w:type="spellEnd"/>
      <w:r>
        <w:rPr>
          <w:rFonts w:ascii="Times New Roman" w:hAnsi="Times New Roman" w:cs="Times New Roman"/>
          <w:sz w:val="24"/>
          <w:szCs w:val="24"/>
        </w:rPr>
        <w:t xml:space="preserve"> and Peter </w:t>
      </w:r>
      <w:proofErr w:type="spellStart"/>
      <w:r>
        <w:rPr>
          <w:rFonts w:ascii="Times New Roman" w:hAnsi="Times New Roman" w:cs="Times New Roman"/>
          <w:sz w:val="24"/>
          <w:szCs w:val="24"/>
        </w:rPr>
        <w:t>Stuhlmacher</w:t>
      </w:r>
      <w:proofErr w:type="spellEnd"/>
      <w:r>
        <w:rPr>
          <w:rFonts w:ascii="Times New Roman" w:hAnsi="Times New Roman" w:cs="Times New Roman"/>
          <w:sz w:val="24"/>
          <w:szCs w:val="24"/>
        </w:rPr>
        <w:t>, Beale presents the theology of the NT in relation to the OT. Hence, he employs an approach that sets his work apart from the Other NTTs surveyed h</w:t>
      </w:r>
      <w:bookmarkStart w:id="0" w:name="_GoBack"/>
      <w:bookmarkEnd w:id="0"/>
      <w:r>
        <w:rPr>
          <w:rFonts w:ascii="Times New Roman" w:hAnsi="Times New Roman" w:cs="Times New Roman"/>
          <w:sz w:val="24"/>
          <w:szCs w:val="24"/>
        </w:rPr>
        <w:t>ere. Above all, for him, the theological unity of the Bible is to be found in its storyline</w:t>
      </w:r>
      <w:r w:rsidR="00465656">
        <w:rPr>
          <w:rFonts w:ascii="Times New Roman" w:hAnsi="Times New Roman" w:cs="Times New Roman"/>
          <w:sz w:val="24"/>
          <w:szCs w:val="24"/>
        </w:rPr>
        <w:t>. His approach is to identify the fundamental storylines of the OT and the NT and then to show how that of the NT is founded upon, flows out of, and transforms that</w:t>
      </w:r>
      <w:r>
        <w:rPr>
          <w:rFonts w:ascii="Times New Roman" w:hAnsi="Times New Roman" w:cs="Times New Roman"/>
          <w:sz w:val="24"/>
          <w:szCs w:val="24"/>
        </w:rPr>
        <w:t xml:space="preserve"> </w:t>
      </w:r>
      <w:r w:rsidR="00BE78B9">
        <w:rPr>
          <w:rFonts w:ascii="Times New Roman" w:hAnsi="Times New Roman" w:cs="Times New Roman"/>
          <w:sz w:val="24"/>
          <w:szCs w:val="24"/>
        </w:rPr>
        <w:t>of</w:t>
      </w:r>
      <w:r w:rsidR="004C3CA6">
        <w:rPr>
          <w:rFonts w:ascii="Times New Roman" w:hAnsi="Times New Roman" w:cs="Times New Roman"/>
          <w:sz w:val="24"/>
          <w:szCs w:val="24"/>
        </w:rPr>
        <w:t xml:space="preserve"> the OT. However, he uses the narrative concept to provide a structure around which he details the theological nature of the NT text.</w:t>
      </w:r>
    </w:p>
    <w:p w:rsidR="004C3CA6" w:rsidRPr="00C50FF8" w:rsidRDefault="004C3CA6" w:rsidP="000B292F">
      <w:pPr>
        <w:spacing w:after="0" w:line="240" w:lineRule="auto"/>
        <w:jc w:val="both"/>
        <w:rPr>
          <w:rFonts w:ascii="Times New Roman" w:hAnsi="Times New Roman" w:cs="Times New Roman"/>
          <w:b/>
          <w:sz w:val="24"/>
          <w:szCs w:val="24"/>
        </w:rPr>
      </w:pPr>
      <w:r w:rsidRPr="00C50FF8">
        <w:rPr>
          <w:rFonts w:ascii="Times New Roman" w:hAnsi="Times New Roman" w:cs="Times New Roman"/>
          <w:b/>
          <w:sz w:val="24"/>
          <w:szCs w:val="24"/>
        </w:rPr>
        <w:t>Conclusion: The Way Forward</w:t>
      </w:r>
    </w:p>
    <w:p w:rsidR="00C50FF8" w:rsidRPr="00F547D5" w:rsidRDefault="004C3CA6" w:rsidP="000B292F">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Having grasped different approaches of some scholars as </w:t>
      </w:r>
      <w:proofErr w:type="spellStart"/>
      <w:r>
        <w:rPr>
          <w:rFonts w:ascii="Times New Roman" w:hAnsi="Times New Roman" w:cs="Times New Roman"/>
          <w:sz w:val="24"/>
          <w:szCs w:val="24"/>
        </w:rPr>
        <w:t>Wendel</w:t>
      </w:r>
      <w:proofErr w:type="spellEnd"/>
      <w:r>
        <w:rPr>
          <w:rFonts w:ascii="Times New Roman" w:hAnsi="Times New Roman" w:cs="Times New Roman"/>
          <w:sz w:val="24"/>
          <w:szCs w:val="24"/>
        </w:rPr>
        <w:t xml:space="preserve"> presented it with the regards of the current trends in the discipline, it became obvious that scholars have different approaches to NTT. The way in which one approaches the study of NTT directly influences the results of that study. This is clearly true in relation to the issue of unity and diversity. While there is no one “right” way to do NTT, some approaches are better than others.</w:t>
      </w:r>
      <w:r w:rsidR="00F547D5">
        <w:rPr>
          <w:rFonts w:ascii="Times New Roman" w:hAnsi="Times New Roman" w:cs="Times New Roman"/>
          <w:sz w:val="24"/>
          <w:szCs w:val="24"/>
        </w:rPr>
        <w:t xml:space="preserve"> </w:t>
      </w:r>
      <w:r w:rsidR="00C50FF8">
        <w:rPr>
          <w:rFonts w:ascii="Times New Roman" w:hAnsi="Times New Roman" w:cs="Times New Roman"/>
          <w:sz w:val="24"/>
          <w:szCs w:val="24"/>
        </w:rPr>
        <w:t xml:space="preserve">Nevertheless, Marshall and Matera’s works examined in this survey highlight the importance of unity and diversity. Schnell focus almost entirely on diversity. Schreiner and Beale emphasize unity with little regard to diversity. Marshall, Matera, and </w:t>
      </w:r>
      <w:proofErr w:type="spellStart"/>
      <w:r w:rsidR="00C50FF8">
        <w:rPr>
          <w:rFonts w:ascii="Times New Roman" w:hAnsi="Times New Roman" w:cs="Times New Roman"/>
          <w:sz w:val="24"/>
          <w:szCs w:val="24"/>
        </w:rPr>
        <w:t>Theilman</w:t>
      </w:r>
      <w:proofErr w:type="spellEnd"/>
      <w:r w:rsidR="00C50FF8">
        <w:rPr>
          <w:rFonts w:ascii="Times New Roman" w:hAnsi="Times New Roman" w:cs="Times New Roman"/>
          <w:sz w:val="24"/>
          <w:szCs w:val="24"/>
        </w:rPr>
        <w:t xml:space="preserve"> worked from diversity to unity. Finally, despite these differences, all of the works examined at least address the issue, and for most of them it plays an important role in their approach and structure.</w:t>
      </w:r>
    </w:p>
    <w:sectPr w:rsidR="00C50FF8" w:rsidRPr="00F547D5">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3AD7" w:rsidRDefault="00183AD7" w:rsidP="000B292F">
      <w:pPr>
        <w:spacing w:after="0" w:line="240" w:lineRule="auto"/>
      </w:pPr>
      <w:r>
        <w:separator/>
      </w:r>
    </w:p>
  </w:endnote>
  <w:endnote w:type="continuationSeparator" w:id="0">
    <w:p w:rsidR="00183AD7" w:rsidRDefault="00183AD7" w:rsidP="000B2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33941"/>
      <w:docPartObj>
        <w:docPartGallery w:val="Page Numbers (Bottom of Page)"/>
        <w:docPartUnique/>
      </w:docPartObj>
    </w:sdtPr>
    <w:sdtEndPr>
      <w:rPr>
        <w:noProof/>
      </w:rPr>
    </w:sdtEndPr>
    <w:sdtContent>
      <w:p w:rsidR="000B292F" w:rsidRDefault="000B292F">
        <w:pPr>
          <w:pStyle w:val="Footer"/>
          <w:jc w:val="center"/>
        </w:pPr>
        <w:r>
          <w:fldChar w:fldCharType="begin"/>
        </w:r>
        <w:r>
          <w:instrText xml:space="preserve"> PAGE   \* MERGEFORMAT </w:instrText>
        </w:r>
        <w:r>
          <w:fldChar w:fldCharType="separate"/>
        </w:r>
        <w:r w:rsidR="009F4C45">
          <w:rPr>
            <w:noProof/>
          </w:rPr>
          <w:t>2</w:t>
        </w:r>
        <w:r>
          <w:rPr>
            <w:noProof/>
          </w:rPr>
          <w:fldChar w:fldCharType="end"/>
        </w:r>
      </w:p>
    </w:sdtContent>
  </w:sdt>
  <w:p w:rsidR="000B292F" w:rsidRDefault="000B29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3AD7" w:rsidRDefault="00183AD7" w:rsidP="000B292F">
      <w:pPr>
        <w:spacing w:after="0" w:line="240" w:lineRule="auto"/>
      </w:pPr>
      <w:r>
        <w:separator/>
      </w:r>
    </w:p>
  </w:footnote>
  <w:footnote w:type="continuationSeparator" w:id="0">
    <w:p w:rsidR="00183AD7" w:rsidRDefault="00183AD7" w:rsidP="000B29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AF2"/>
    <w:rsid w:val="000166E0"/>
    <w:rsid w:val="00043E84"/>
    <w:rsid w:val="000B292F"/>
    <w:rsid w:val="00183AD7"/>
    <w:rsid w:val="001A2A58"/>
    <w:rsid w:val="001C5DC3"/>
    <w:rsid w:val="00263DC5"/>
    <w:rsid w:val="002655F5"/>
    <w:rsid w:val="002F28E3"/>
    <w:rsid w:val="00465656"/>
    <w:rsid w:val="004B53B0"/>
    <w:rsid w:val="004C3CA6"/>
    <w:rsid w:val="004E3087"/>
    <w:rsid w:val="005D49DE"/>
    <w:rsid w:val="005E6AF2"/>
    <w:rsid w:val="00605ADE"/>
    <w:rsid w:val="0062505D"/>
    <w:rsid w:val="0068727D"/>
    <w:rsid w:val="0072086B"/>
    <w:rsid w:val="008810F1"/>
    <w:rsid w:val="009F4C45"/>
    <w:rsid w:val="00A0585F"/>
    <w:rsid w:val="00AA1BA6"/>
    <w:rsid w:val="00AC7B59"/>
    <w:rsid w:val="00AF4795"/>
    <w:rsid w:val="00B84D47"/>
    <w:rsid w:val="00BB01A0"/>
    <w:rsid w:val="00BB701C"/>
    <w:rsid w:val="00BE78B9"/>
    <w:rsid w:val="00C50FF8"/>
    <w:rsid w:val="00CD5AFE"/>
    <w:rsid w:val="00D7173A"/>
    <w:rsid w:val="00E3714D"/>
    <w:rsid w:val="00F547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98D2C9-D7B4-4FEF-B5AA-A477DC1E8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29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292F"/>
  </w:style>
  <w:style w:type="paragraph" w:styleId="Footer">
    <w:name w:val="footer"/>
    <w:basedOn w:val="Normal"/>
    <w:link w:val="FooterChar"/>
    <w:uiPriority w:val="99"/>
    <w:unhideWhenUsed/>
    <w:rsid w:val="000B29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29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2</Pages>
  <Words>1127</Words>
  <Characters>6425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dcterms:created xsi:type="dcterms:W3CDTF">2020-11-23T08:54:00Z</dcterms:created>
  <dcterms:modified xsi:type="dcterms:W3CDTF">2020-11-25T12:15:00Z</dcterms:modified>
</cp:coreProperties>
</file>