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3DA" w:rsidRDefault="00A0497B" w:rsidP="00A0497B">
      <w:pPr>
        <w:spacing w:line="480" w:lineRule="auto"/>
        <w:jc w:val="both"/>
        <w:rPr>
          <w:rFonts w:ascii="Times New Roman" w:hAnsi="Times New Roman" w:cs="Times New Roman"/>
          <w:sz w:val="24"/>
          <w:szCs w:val="24"/>
          <w:lang w:val="en-GB"/>
        </w:rPr>
      </w:pPr>
      <w:bookmarkStart w:id="0" w:name="_GoBack"/>
      <w:bookmarkEnd w:id="0"/>
      <w:r>
        <w:rPr>
          <w:rFonts w:ascii="Times New Roman" w:hAnsi="Times New Roman" w:cs="Times New Roman"/>
          <w:b/>
          <w:sz w:val="24"/>
          <w:szCs w:val="24"/>
        </w:rPr>
        <w:t>Question 1:</w:t>
      </w:r>
      <w:r>
        <w:rPr>
          <w:rFonts w:ascii="Times New Roman" w:hAnsi="Times New Roman" w:cs="Times New Roman"/>
          <w:sz w:val="24"/>
          <w:szCs w:val="24"/>
        </w:rPr>
        <w:t xml:space="preserve"> "The New Testament Theology" is the title of some academic syllabi (courses). Does it exist? </w:t>
      </w:r>
      <w:r>
        <w:rPr>
          <w:rFonts w:ascii="Times New Roman" w:hAnsi="Times New Roman" w:cs="Times New Roman"/>
          <w:b/>
          <w:sz w:val="24"/>
          <w:szCs w:val="24"/>
        </w:rPr>
        <w:t>Introduction:</w:t>
      </w:r>
      <w:r>
        <w:rPr>
          <w:rFonts w:ascii="Times New Roman" w:hAnsi="Times New Roman" w:cs="Times New Roman"/>
          <w:sz w:val="24"/>
          <w:szCs w:val="24"/>
          <w:lang w:val="en-GB"/>
        </w:rPr>
        <w:t xml:space="preserve"> The word “testament” is an appropriate translation of the Greek term </w:t>
      </w:r>
      <w:proofErr w:type="spellStart"/>
      <w:r>
        <w:rPr>
          <w:rFonts w:ascii="Times New Roman" w:hAnsi="Times New Roman" w:cs="Times New Roman"/>
          <w:i/>
          <w:sz w:val="24"/>
          <w:szCs w:val="24"/>
          <w:lang w:val="en-GB"/>
        </w:rPr>
        <w:t>diatheke</w:t>
      </w:r>
      <w:proofErr w:type="spellEnd"/>
      <w:r>
        <w:rPr>
          <w:rFonts w:ascii="Times New Roman" w:hAnsi="Times New Roman" w:cs="Times New Roman"/>
          <w:i/>
          <w:sz w:val="24"/>
          <w:szCs w:val="24"/>
          <w:lang w:val="en-GB"/>
        </w:rPr>
        <w:t>;</w:t>
      </w:r>
      <w:r>
        <w:rPr>
          <w:rFonts w:ascii="Times New Roman" w:hAnsi="Times New Roman" w:cs="Times New Roman"/>
          <w:sz w:val="24"/>
          <w:szCs w:val="24"/>
          <w:lang w:val="en-GB"/>
        </w:rPr>
        <w:t xml:space="preserve"> it indicate fundamental</w:t>
      </w:r>
      <w:r w:rsidR="009A43DA">
        <w:rPr>
          <w:rFonts w:ascii="Times New Roman" w:hAnsi="Times New Roman" w:cs="Times New Roman"/>
          <w:color w:val="FF0000"/>
          <w:sz w:val="24"/>
          <w:szCs w:val="24"/>
          <w:lang w:val="en-GB"/>
        </w:rPr>
        <w:t xml:space="preserve"> </w:t>
      </w:r>
      <w:r w:rsidR="00802FD4" w:rsidRPr="009A43DA">
        <w:rPr>
          <w:rFonts w:ascii="Times New Roman" w:hAnsi="Times New Roman" w:cs="Times New Roman"/>
          <w:color w:val="000000" w:themeColor="text1"/>
          <w:sz w:val="24"/>
          <w:szCs w:val="24"/>
          <w:lang w:val="en-GB"/>
        </w:rPr>
        <w:t>features</w:t>
      </w:r>
      <w:r>
        <w:rPr>
          <w:rFonts w:ascii="Times New Roman" w:hAnsi="Times New Roman" w:cs="Times New Roman"/>
          <w:sz w:val="24"/>
          <w:szCs w:val="24"/>
          <w:lang w:val="en-GB"/>
        </w:rPr>
        <w:t xml:space="preserve"> of revelation, the covenant or treaty  which God made with a people he had chosen, the people of Israel.</w:t>
      </w:r>
      <w:r>
        <w:rPr>
          <w:rStyle w:val="FootnoteReference"/>
          <w:rFonts w:ascii="Times New Roman" w:hAnsi="Times New Roman" w:cs="Times New Roman"/>
          <w:sz w:val="24"/>
          <w:szCs w:val="24"/>
          <w:lang w:val="en-GB"/>
        </w:rPr>
        <w:footnoteReference w:id="1"/>
      </w:r>
    </w:p>
    <w:p w:rsidR="00A0497B" w:rsidRDefault="009A43DA" w:rsidP="00A0497B">
      <w:pPr>
        <w:spacing w:line="480" w:lineRule="auto"/>
        <w:jc w:val="both"/>
        <w:rPr>
          <w:rFonts w:ascii="Times New Roman" w:hAnsi="Times New Roman" w:cs="Times New Roman"/>
          <w:sz w:val="24"/>
          <w:szCs w:val="24"/>
        </w:rPr>
      </w:pPr>
      <w:r>
        <w:rPr>
          <w:rFonts w:ascii="Times New Roman" w:hAnsi="Times New Roman" w:cs="Times New Roman"/>
          <w:sz w:val="24"/>
          <w:szCs w:val="24"/>
          <w:lang w:val="en-GB"/>
        </w:rPr>
        <w:tab/>
      </w:r>
      <w:r w:rsidR="00A0497B">
        <w:rPr>
          <w:rFonts w:ascii="Times New Roman" w:hAnsi="Times New Roman" w:cs="Times New Roman"/>
          <w:b/>
          <w:sz w:val="24"/>
          <w:szCs w:val="24"/>
          <w:lang w:val="en-GB"/>
        </w:rPr>
        <w:t xml:space="preserve"> </w:t>
      </w:r>
      <w:r w:rsidR="00A0497B">
        <w:rPr>
          <w:rFonts w:ascii="Times New Roman" w:hAnsi="Times New Roman" w:cs="Times New Roman"/>
          <w:sz w:val="24"/>
          <w:szCs w:val="24"/>
        </w:rPr>
        <w:t xml:space="preserve">Historically, New Testament theology was first mentioned among protestant, in the course of the controversy between the supporters of a scholastic theology and the followers of a </w:t>
      </w:r>
      <w:proofErr w:type="spellStart"/>
      <w:r w:rsidR="00A0497B">
        <w:rPr>
          <w:rFonts w:ascii="Times New Roman" w:hAnsi="Times New Roman" w:cs="Times New Roman"/>
          <w:sz w:val="24"/>
          <w:szCs w:val="24"/>
        </w:rPr>
        <w:t>biblio</w:t>
      </w:r>
      <w:proofErr w:type="spellEnd"/>
      <w:r w:rsidR="00A0497B">
        <w:rPr>
          <w:rFonts w:ascii="Times New Roman" w:hAnsi="Times New Roman" w:cs="Times New Roman"/>
          <w:sz w:val="24"/>
          <w:szCs w:val="24"/>
        </w:rPr>
        <w:t>-dogmatic theology.</w:t>
      </w:r>
      <w:r w:rsidR="00A0497B">
        <w:rPr>
          <w:rStyle w:val="FootnoteReference"/>
          <w:rFonts w:ascii="Times New Roman" w:hAnsi="Times New Roman" w:cs="Times New Roman"/>
          <w:sz w:val="24"/>
          <w:szCs w:val="24"/>
        </w:rPr>
        <w:footnoteReference w:id="2"/>
      </w:r>
      <w:r w:rsidR="00A0497B">
        <w:rPr>
          <w:rFonts w:ascii="Times New Roman" w:hAnsi="Times New Roman" w:cs="Times New Roman"/>
          <w:sz w:val="24"/>
          <w:szCs w:val="24"/>
        </w:rPr>
        <w:t xml:space="preserve"> It was during nineteenth century, New Testament theology became an autonomous field of study, different from systematic theology by aims and methods.</w:t>
      </w:r>
      <w:r w:rsidR="00A0497B">
        <w:rPr>
          <w:rStyle w:val="FootnoteReference"/>
          <w:rFonts w:ascii="Times New Roman" w:hAnsi="Times New Roman" w:cs="Times New Roman"/>
          <w:sz w:val="24"/>
          <w:szCs w:val="24"/>
        </w:rPr>
        <w:footnoteReference w:id="3"/>
      </w:r>
      <w:r w:rsidR="00A0497B">
        <w:rPr>
          <w:rFonts w:ascii="Times New Roman" w:hAnsi="Times New Roman" w:cs="Times New Roman"/>
          <w:sz w:val="24"/>
          <w:szCs w:val="24"/>
        </w:rPr>
        <w:t xml:space="preserve"> The debate over what exactly is ‘theology of the New Testament’ can indeed go to the very heart of the nature of theology and its place in a modern academic and secular academy.</w:t>
      </w:r>
      <w:r w:rsidR="00A0497B">
        <w:rPr>
          <w:rStyle w:val="FootnoteReference"/>
          <w:rFonts w:ascii="Times New Roman" w:hAnsi="Times New Roman" w:cs="Times New Roman"/>
          <w:sz w:val="24"/>
          <w:szCs w:val="24"/>
        </w:rPr>
        <w:footnoteReference w:id="4"/>
      </w:r>
      <w:r w:rsidR="00A0497B">
        <w:rPr>
          <w:rFonts w:ascii="Times New Roman" w:hAnsi="Times New Roman" w:cs="Times New Roman"/>
          <w:sz w:val="24"/>
          <w:szCs w:val="24"/>
        </w:rPr>
        <w:t xml:space="preserve"> New Testament theology can be trac</w:t>
      </w:r>
      <w:r w:rsidR="00A0497B" w:rsidRPr="009A43DA">
        <w:rPr>
          <w:rFonts w:ascii="Times New Roman" w:hAnsi="Times New Roman" w:cs="Times New Roman"/>
          <w:color w:val="000000" w:themeColor="text1"/>
          <w:sz w:val="24"/>
          <w:szCs w:val="24"/>
        </w:rPr>
        <w:t>e</w:t>
      </w:r>
      <w:r w:rsidRPr="009A43DA">
        <w:rPr>
          <w:rFonts w:ascii="Times New Roman" w:hAnsi="Times New Roman" w:cs="Times New Roman"/>
          <w:color w:val="000000" w:themeColor="text1"/>
          <w:sz w:val="24"/>
          <w:szCs w:val="24"/>
        </w:rPr>
        <w:t>d</w:t>
      </w:r>
      <w:r w:rsidR="00A0497B">
        <w:rPr>
          <w:rFonts w:ascii="Times New Roman" w:hAnsi="Times New Roman" w:cs="Times New Roman"/>
          <w:sz w:val="24"/>
          <w:szCs w:val="24"/>
        </w:rPr>
        <w:t xml:space="preserve"> back to the Reformation understanding which states that the Bible was not an integral part of the contemporary life and that thought of the church belonged to the historical past. The reformers aimed to establish the Bible as the sole base and norm over against the contemporary church by means of which to judge and renew it, but by setting it apart from the contemporary life and thought of the church the Reformers set a process in motion which made it increasingly questionable how a collection of documents from the past could be normative for the present. The history of New Testament theology is a history of trying to answer that question, in principle as well as in practice.</w:t>
      </w:r>
      <w:r w:rsidR="00A0497B">
        <w:rPr>
          <w:rStyle w:val="FootnoteReference"/>
          <w:rFonts w:ascii="Times New Roman" w:hAnsi="Times New Roman" w:cs="Times New Roman"/>
          <w:sz w:val="24"/>
          <w:szCs w:val="24"/>
        </w:rPr>
        <w:footnoteReference w:id="5"/>
      </w:r>
      <w:r w:rsidR="007266D9">
        <w:rPr>
          <w:rFonts w:ascii="Times New Roman" w:hAnsi="Times New Roman" w:cs="Times New Roman"/>
          <w:sz w:val="24"/>
          <w:szCs w:val="24"/>
        </w:rPr>
        <w:t xml:space="preserve"> </w:t>
      </w:r>
      <w:r w:rsidR="00A0497B">
        <w:rPr>
          <w:rFonts w:ascii="Times New Roman" w:hAnsi="Times New Roman" w:cs="Times New Roman"/>
          <w:sz w:val="24"/>
          <w:szCs w:val="24"/>
        </w:rPr>
        <w:t xml:space="preserve">It is something to which the Christian Church did not give specific attention for many centuries, and now that the church has reflected on it for more than four centuries, there </w:t>
      </w:r>
      <w:r w:rsidR="00A0497B">
        <w:rPr>
          <w:rFonts w:ascii="Times New Roman" w:hAnsi="Times New Roman" w:cs="Times New Roman"/>
          <w:sz w:val="24"/>
          <w:szCs w:val="24"/>
        </w:rPr>
        <w:lastRenderedPageBreak/>
        <w:t>is very little agreement on the precise subject matter of such a theology.</w:t>
      </w:r>
      <w:r w:rsidR="00A0497B">
        <w:rPr>
          <w:rStyle w:val="FootnoteReference"/>
          <w:rFonts w:ascii="Times New Roman" w:hAnsi="Times New Roman" w:cs="Times New Roman"/>
          <w:sz w:val="24"/>
          <w:szCs w:val="24"/>
        </w:rPr>
        <w:footnoteReference w:id="6"/>
      </w:r>
      <w:r w:rsidR="00A0497B">
        <w:rPr>
          <w:rFonts w:ascii="Times New Roman" w:hAnsi="Times New Roman" w:cs="Times New Roman"/>
          <w:sz w:val="24"/>
          <w:szCs w:val="24"/>
        </w:rPr>
        <w:t xml:space="preserve"> However, Donahue posits that surveying a number of theologies produced in the last forty years, there are more works written by Catholic and protestant scholars on NT theologies.</w:t>
      </w:r>
      <w:r w:rsidR="00A0497B">
        <w:rPr>
          <w:rStyle w:val="FootnoteReference"/>
          <w:rFonts w:ascii="Times New Roman" w:hAnsi="Times New Roman" w:cs="Times New Roman"/>
          <w:sz w:val="24"/>
          <w:szCs w:val="24"/>
        </w:rPr>
        <w:footnoteReference w:id="7"/>
      </w:r>
      <w:r w:rsidR="00A0497B">
        <w:rPr>
          <w:rFonts w:ascii="Times New Roman" w:hAnsi="Times New Roman" w:cs="Times New Roman"/>
          <w:sz w:val="24"/>
          <w:szCs w:val="24"/>
        </w:rPr>
        <w:t xml:space="preserve"> In the same vein, Peter </w:t>
      </w:r>
      <w:proofErr w:type="spellStart"/>
      <w:r w:rsidR="00A0497B">
        <w:rPr>
          <w:rFonts w:ascii="Times New Roman" w:hAnsi="Times New Roman" w:cs="Times New Roman"/>
          <w:sz w:val="24"/>
          <w:szCs w:val="24"/>
        </w:rPr>
        <w:t>Balla</w:t>
      </w:r>
      <w:proofErr w:type="spellEnd"/>
      <w:r w:rsidR="00A0497B">
        <w:rPr>
          <w:rFonts w:ascii="Times New Roman" w:hAnsi="Times New Roman" w:cs="Times New Roman"/>
          <w:sz w:val="24"/>
          <w:szCs w:val="24"/>
        </w:rPr>
        <w:t>, defending the discipline of NTT, asserts that the historical study does not exclude the study of theology if the definition of theology is understood broadly enough; for him, NT Theology is a descriptive, historical enterprise that deals with the canonical writings of the NT. It is not a normative discipline, nor should it try to prove the claims of the NT.</w:t>
      </w:r>
      <w:r w:rsidR="00A0497B">
        <w:rPr>
          <w:rStyle w:val="FootnoteReference"/>
          <w:rFonts w:ascii="Times New Roman" w:hAnsi="Times New Roman" w:cs="Times New Roman"/>
          <w:sz w:val="24"/>
          <w:szCs w:val="24"/>
        </w:rPr>
        <w:footnoteReference w:id="8"/>
      </w:r>
      <w:r w:rsidR="00A0497B">
        <w:rPr>
          <w:rFonts w:ascii="Times New Roman" w:hAnsi="Times New Roman" w:cs="Times New Roman"/>
          <w:sz w:val="24"/>
          <w:szCs w:val="24"/>
        </w:rPr>
        <w:t xml:space="preserve"> </w:t>
      </w:r>
      <w:r w:rsidR="00A0497B" w:rsidRPr="009A43DA">
        <w:rPr>
          <w:rFonts w:ascii="Times New Roman" w:hAnsi="Times New Roman" w:cs="Times New Roman"/>
          <w:color w:val="000000" w:themeColor="text1"/>
          <w:sz w:val="24"/>
          <w:szCs w:val="24"/>
        </w:rPr>
        <w:t>In conclusion,</w:t>
      </w:r>
      <w:r w:rsidR="00A0497B">
        <w:rPr>
          <w:rFonts w:ascii="Times New Roman" w:hAnsi="Times New Roman" w:cs="Times New Roman"/>
          <w:sz w:val="24"/>
          <w:szCs w:val="24"/>
        </w:rPr>
        <w:t xml:space="preserve"> New Testament theology is a new field and is still fairly establish and incomplete, however its roots are strong, and the source from which it springs is fruitful. </w:t>
      </w:r>
    </w:p>
    <w:p w:rsidR="00A27868" w:rsidRPr="00703AF9" w:rsidRDefault="00703AF9" w:rsidP="00703AF9">
      <w:pPr>
        <w:spacing w:after="0" w:line="480" w:lineRule="auto"/>
        <w:jc w:val="center"/>
        <w:rPr>
          <w:rFonts w:ascii="Times New Roman" w:hAnsi="Times New Roman" w:cs="Times New Roman"/>
          <w:b/>
          <w:sz w:val="24"/>
          <w:szCs w:val="24"/>
        </w:rPr>
      </w:pPr>
      <w:r w:rsidRPr="00703AF9">
        <w:rPr>
          <w:rFonts w:ascii="Times New Roman" w:hAnsi="Times New Roman" w:cs="Times New Roman"/>
          <w:b/>
          <w:sz w:val="24"/>
          <w:szCs w:val="24"/>
        </w:rPr>
        <w:t>ESSENTIAL ASPECTS OF THE EUCHARIST IN THE NEW TESTAMENT</w:t>
      </w:r>
    </w:p>
    <w:p w:rsidR="00325419" w:rsidRDefault="007C6A8C" w:rsidP="00325419">
      <w:pPr>
        <w:spacing w:line="480" w:lineRule="auto"/>
        <w:jc w:val="both"/>
        <w:rPr>
          <w:rFonts w:ascii="Times New Roman" w:hAnsi="Times New Roman" w:cs="Times New Roman"/>
          <w:sz w:val="24"/>
          <w:szCs w:val="24"/>
        </w:rPr>
      </w:pPr>
      <w:r>
        <w:rPr>
          <w:rFonts w:ascii="Times New Roman" w:hAnsi="Times New Roman" w:cs="Times New Roman"/>
          <w:sz w:val="24"/>
          <w:szCs w:val="24"/>
        </w:rPr>
        <w:t>The</w:t>
      </w:r>
      <w:r w:rsidR="009A43DA">
        <w:rPr>
          <w:rFonts w:ascii="Times New Roman" w:hAnsi="Times New Roman" w:cs="Times New Roman"/>
          <w:sz w:val="24"/>
          <w:szCs w:val="24"/>
        </w:rPr>
        <w:t xml:space="preserve"> Upper Room was where this most</w:t>
      </w:r>
      <w:r w:rsidR="005D25D4">
        <w:rPr>
          <w:rFonts w:ascii="Times New Roman" w:hAnsi="Times New Roman" w:cs="Times New Roman"/>
          <w:sz w:val="24"/>
          <w:szCs w:val="24"/>
        </w:rPr>
        <w:t xml:space="preserve"> </w:t>
      </w:r>
      <w:r w:rsidR="005D25D4" w:rsidRPr="009A43DA">
        <w:rPr>
          <w:rFonts w:ascii="Times New Roman" w:hAnsi="Times New Roman" w:cs="Times New Roman"/>
          <w:color w:val="000000" w:themeColor="text1"/>
          <w:sz w:val="24"/>
          <w:szCs w:val="24"/>
        </w:rPr>
        <w:t>H</w:t>
      </w:r>
      <w:r w:rsidRPr="009A43DA">
        <w:rPr>
          <w:rFonts w:ascii="Times New Roman" w:hAnsi="Times New Roman" w:cs="Times New Roman"/>
          <w:color w:val="000000" w:themeColor="text1"/>
          <w:sz w:val="24"/>
          <w:szCs w:val="24"/>
        </w:rPr>
        <w:t>o</w:t>
      </w:r>
      <w:r w:rsidR="005D25D4" w:rsidRPr="009A43DA">
        <w:rPr>
          <w:rFonts w:ascii="Times New Roman" w:hAnsi="Times New Roman" w:cs="Times New Roman"/>
          <w:color w:val="000000" w:themeColor="text1"/>
          <w:sz w:val="24"/>
          <w:szCs w:val="24"/>
        </w:rPr>
        <w:t>l</w:t>
      </w:r>
      <w:r w:rsidRPr="009A43DA">
        <w:rPr>
          <w:rFonts w:ascii="Times New Roman" w:hAnsi="Times New Roman" w:cs="Times New Roman"/>
          <w:color w:val="000000" w:themeColor="text1"/>
          <w:sz w:val="24"/>
          <w:szCs w:val="24"/>
        </w:rPr>
        <w:t>y</w:t>
      </w:r>
      <w:r>
        <w:rPr>
          <w:rFonts w:ascii="Times New Roman" w:hAnsi="Times New Roman" w:cs="Times New Roman"/>
          <w:sz w:val="24"/>
          <w:szCs w:val="24"/>
        </w:rPr>
        <w:t xml:space="preserve"> Sacrament was instituted. It is there that Christ took bread, broke it and gave it to his disciples, saying: “Take this, all of you, and eat it; this is my body which will be given up for you” (Cf. Mk. 26:26; </w:t>
      </w:r>
      <w:proofErr w:type="spellStart"/>
      <w:r>
        <w:rPr>
          <w:rFonts w:ascii="Times New Roman" w:hAnsi="Times New Roman" w:cs="Times New Roman"/>
          <w:sz w:val="24"/>
          <w:szCs w:val="24"/>
        </w:rPr>
        <w:t>Lk</w:t>
      </w:r>
      <w:proofErr w:type="spellEnd"/>
      <w:r>
        <w:rPr>
          <w:rFonts w:ascii="Times New Roman" w:hAnsi="Times New Roman" w:cs="Times New Roman"/>
          <w:sz w:val="24"/>
          <w:szCs w:val="24"/>
        </w:rPr>
        <w:t>. 22:19; 1 Cor. 11:24). Then he took the cup of wine and said to them: “Take this, all of you and drink from it; this is the cup of my blood, the blood of the new and everlasting covenant, it will be shed for you and for all, so that sins may be forgiven”</w:t>
      </w:r>
      <w:r w:rsidR="00D40442">
        <w:rPr>
          <w:rFonts w:ascii="Times New Roman" w:hAnsi="Times New Roman" w:cs="Times New Roman"/>
          <w:sz w:val="24"/>
          <w:szCs w:val="24"/>
        </w:rPr>
        <w:t xml:space="preserve"> (</w:t>
      </w:r>
      <w:r w:rsidR="002071E8">
        <w:rPr>
          <w:rFonts w:ascii="Times New Roman" w:hAnsi="Times New Roman" w:cs="Times New Roman"/>
          <w:sz w:val="24"/>
          <w:szCs w:val="24"/>
        </w:rPr>
        <w:t xml:space="preserve">Mt. 26: 26-28, Mk. 14: 22-25, </w:t>
      </w:r>
      <w:proofErr w:type="spellStart"/>
      <w:r w:rsidR="002071E8">
        <w:rPr>
          <w:rFonts w:ascii="Times New Roman" w:hAnsi="Times New Roman" w:cs="Times New Roman"/>
          <w:sz w:val="24"/>
          <w:szCs w:val="24"/>
        </w:rPr>
        <w:t>Lk</w:t>
      </w:r>
      <w:proofErr w:type="spellEnd"/>
      <w:r w:rsidR="002071E8">
        <w:rPr>
          <w:rFonts w:ascii="Times New Roman" w:hAnsi="Times New Roman" w:cs="Times New Roman"/>
          <w:sz w:val="24"/>
          <w:szCs w:val="24"/>
        </w:rPr>
        <w:t xml:space="preserve">. 22: 17-23, Jn. 13: 26-27, 1 Cor. 11:25).  </w:t>
      </w:r>
      <w:r w:rsidR="0039410E">
        <w:rPr>
          <w:rFonts w:ascii="Times New Roman" w:hAnsi="Times New Roman" w:cs="Times New Roman"/>
          <w:sz w:val="24"/>
          <w:szCs w:val="24"/>
        </w:rPr>
        <w:t xml:space="preserve">Paul proclaimed the celebration of the Eucharist as a </w:t>
      </w:r>
      <w:r w:rsidR="0069167F">
        <w:rPr>
          <w:rFonts w:ascii="Times New Roman" w:hAnsi="Times New Roman" w:cs="Times New Roman"/>
          <w:sz w:val="24"/>
          <w:szCs w:val="24"/>
        </w:rPr>
        <w:t>remembrance</w:t>
      </w:r>
      <w:r w:rsidR="0039410E">
        <w:rPr>
          <w:rFonts w:ascii="Times New Roman" w:hAnsi="Times New Roman" w:cs="Times New Roman"/>
          <w:sz w:val="24"/>
          <w:szCs w:val="24"/>
        </w:rPr>
        <w:t xml:space="preserve"> of the Lord's death and resurrection and a preparation for the heavenly kingdom (1 Cor. 11: 23-26</w:t>
      </w:r>
      <w:r w:rsidR="007F49FE">
        <w:rPr>
          <w:rFonts w:ascii="Times New Roman" w:hAnsi="Times New Roman" w:cs="Times New Roman"/>
          <w:sz w:val="24"/>
          <w:szCs w:val="24"/>
        </w:rPr>
        <w:t>).</w:t>
      </w:r>
      <w:r w:rsidR="0069167F">
        <w:rPr>
          <w:rFonts w:ascii="Times New Roman" w:hAnsi="Times New Roman" w:cs="Times New Roman"/>
          <w:sz w:val="24"/>
          <w:szCs w:val="24"/>
        </w:rPr>
        <w:t xml:space="preserve"> Eucharist is a sign of unity; it reminds us that we are family, that is, children of God (1Pet.1: 4).</w:t>
      </w:r>
      <w:r w:rsidR="00560EBA">
        <w:rPr>
          <w:rFonts w:ascii="Times New Roman" w:hAnsi="Times New Roman" w:cs="Times New Roman"/>
          <w:sz w:val="24"/>
          <w:szCs w:val="24"/>
        </w:rPr>
        <w:t xml:space="preserve"> </w:t>
      </w:r>
      <w:r w:rsidR="00560EBA" w:rsidRPr="004C1914">
        <w:rPr>
          <w:rFonts w:ascii="Times New Roman" w:hAnsi="Times New Roman" w:cs="Times New Roman"/>
          <w:sz w:val="24"/>
          <w:szCs w:val="24"/>
        </w:rPr>
        <w:t>At two points in the first letter to the Corinthians the Apostle Paul mentions the Eucharist. First as an aside, when he was explaining why Christians may not atten</w:t>
      </w:r>
      <w:r w:rsidR="00560EBA">
        <w:rPr>
          <w:rFonts w:ascii="Times New Roman" w:hAnsi="Times New Roman" w:cs="Times New Roman"/>
          <w:sz w:val="24"/>
          <w:szCs w:val="24"/>
        </w:rPr>
        <w:t>d banquets at pagan shrines (</w:t>
      </w:r>
      <w:r w:rsidR="00560EBA" w:rsidRPr="004C1914">
        <w:rPr>
          <w:rFonts w:ascii="Times New Roman" w:hAnsi="Times New Roman" w:cs="Times New Roman"/>
          <w:sz w:val="24"/>
          <w:szCs w:val="24"/>
        </w:rPr>
        <w:t xml:space="preserve">1 Cor. 10:14-22); and later, in the course of correcting abuses that have </w:t>
      </w:r>
      <w:r w:rsidR="00D40442">
        <w:rPr>
          <w:rFonts w:ascii="Times New Roman" w:hAnsi="Times New Roman" w:cs="Times New Roman"/>
          <w:sz w:val="24"/>
          <w:szCs w:val="24"/>
        </w:rPr>
        <w:lastRenderedPageBreak/>
        <w:t xml:space="preserve">risen </w:t>
      </w:r>
      <w:r w:rsidR="00560EBA" w:rsidRPr="004C1914">
        <w:rPr>
          <w:rFonts w:ascii="Times New Roman" w:hAnsi="Times New Roman" w:cs="Times New Roman"/>
          <w:sz w:val="24"/>
          <w:szCs w:val="24"/>
        </w:rPr>
        <w:t>during the Eucharistic celebra</w:t>
      </w:r>
      <w:r w:rsidR="00560EBA">
        <w:rPr>
          <w:rFonts w:ascii="Times New Roman" w:hAnsi="Times New Roman" w:cs="Times New Roman"/>
          <w:sz w:val="24"/>
          <w:szCs w:val="24"/>
        </w:rPr>
        <w:t>tion in Corinth (</w:t>
      </w:r>
      <w:r w:rsidR="00560EBA" w:rsidRPr="004C1914">
        <w:rPr>
          <w:rFonts w:ascii="Times New Roman" w:hAnsi="Times New Roman" w:cs="Times New Roman"/>
          <w:sz w:val="24"/>
          <w:szCs w:val="24"/>
        </w:rPr>
        <w:t>1 Cor. 11:17-34). These two passages comprise the b</w:t>
      </w:r>
      <w:r w:rsidR="007266D9">
        <w:rPr>
          <w:rFonts w:ascii="Times New Roman" w:hAnsi="Times New Roman" w:cs="Times New Roman"/>
          <w:sz w:val="24"/>
          <w:szCs w:val="24"/>
        </w:rPr>
        <w:t>asic truth about the Eucharist</w:t>
      </w:r>
      <w:r w:rsidR="00560EBA" w:rsidRPr="004C1914">
        <w:rPr>
          <w:rFonts w:ascii="Times New Roman" w:hAnsi="Times New Roman" w:cs="Times New Roman"/>
          <w:sz w:val="24"/>
          <w:szCs w:val="24"/>
        </w:rPr>
        <w:t xml:space="preserve"> – its institution by Jesus Christ himself, the fact that it is a sacrifice; the real presence of Jesus under the appearances of bread and wine; and the connections between our </w:t>
      </w:r>
      <w:proofErr w:type="gramStart"/>
      <w:r w:rsidR="00560EBA" w:rsidRPr="004C1914">
        <w:rPr>
          <w:rFonts w:ascii="Times New Roman" w:hAnsi="Times New Roman" w:cs="Times New Roman"/>
          <w:sz w:val="24"/>
          <w:szCs w:val="24"/>
        </w:rPr>
        <w:t>Lord’s</w:t>
      </w:r>
      <w:proofErr w:type="gramEnd"/>
      <w:r w:rsidR="00560EBA" w:rsidRPr="004C1914">
        <w:rPr>
          <w:rFonts w:ascii="Times New Roman" w:hAnsi="Times New Roman" w:cs="Times New Roman"/>
          <w:sz w:val="24"/>
          <w:szCs w:val="24"/>
        </w:rPr>
        <w:t xml:space="preserve"> sacramental Body and his mystical Body, the Church.</w:t>
      </w:r>
      <w:r w:rsidR="00560EBA" w:rsidRPr="004C1914">
        <w:rPr>
          <w:rStyle w:val="FootnoteReference"/>
          <w:rFonts w:ascii="Times New Roman" w:hAnsi="Times New Roman" w:cs="Times New Roman"/>
          <w:sz w:val="24"/>
          <w:szCs w:val="24"/>
        </w:rPr>
        <w:footnoteReference w:id="9"/>
      </w:r>
      <w:r w:rsidR="007266D9">
        <w:rPr>
          <w:rFonts w:ascii="Times New Roman" w:hAnsi="Times New Roman" w:cs="Times New Roman"/>
          <w:sz w:val="24"/>
          <w:szCs w:val="24"/>
        </w:rPr>
        <w:t xml:space="preserve"> </w:t>
      </w:r>
      <w:r w:rsidR="00560EBA" w:rsidRPr="004C1914">
        <w:rPr>
          <w:rFonts w:ascii="Times New Roman" w:hAnsi="Times New Roman" w:cs="Times New Roman"/>
          <w:sz w:val="24"/>
          <w:szCs w:val="24"/>
        </w:rPr>
        <w:t>Paul narrates the in</w:t>
      </w:r>
      <w:r w:rsidR="00560EBA">
        <w:rPr>
          <w:rFonts w:ascii="Times New Roman" w:hAnsi="Times New Roman" w:cs="Times New Roman"/>
          <w:sz w:val="24"/>
          <w:szCs w:val="24"/>
        </w:rPr>
        <w:t>stitution of the Eucharist (</w:t>
      </w:r>
      <w:r w:rsidR="00560EBA" w:rsidRPr="004C1914">
        <w:rPr>
          <w:rFonts w:ascii="Times New Roman" w:hAnsi="Times New Roman" w:cs="Times New Roman"/>
          <w:sz w:val="24"/>
          <w:szCs w:val="24"/>
        </w:rPr>
        <w:t>1 Cor. 11:23-25</w:t>
      </w:r>
      <w:r w:rsidR="00560EBA">
        <w:rPr>
          <w:rFonts w:ascii="Times New Roman" w:hAnsi="Times New Roman" w:cs="Times New Roman"/>
          <w:sz w:val="24"/>
          <w:szCs w:val="24"/>
        </w:rPr>
        <w:t>) in much the same way as did St</w:t>
      </w:r>
      <w:r w:rsidR="00560EBA" w:rsidRPr="004C1914">
        <w:rPr>
          <w:rFonts w:ascii="Times New Roman" w:hAnsi="Times New Roman" w:cs="Times New Roman"/>
          <w:sz w:val="24"/>
          <w:szCs w:val="24"/>
        </w:rPr>
        <w:t>. Luke. He also teaches that the Eucharist is the sacrifice, far beyond and incompatible with pagan sacrifices, and that the victim in the Eucharist was prefigured in the victim</w:t>
      </w:r>
      <w:r w:rsidR="00560EBA">
        <w:rPr>
          <w:rFonts w:ascii="Times New Roman" w:hAnsi="Times New Roman" w:cs="Times New Roman"/>
          <w:sz w:val="24"/>
          <w:szCs w:val="24"/>
        </w:rPr>
        <w:t xml:space="preserve"> in Old Testament oblations (</w:t>
      </w:r>
      <w:r w:rsidR="00560EBA" w:rsidRPr="004C1914">
        <w:rPr>
          <w:rFonts w:ascii="Times New Roman" w:hAnsi="Times New Roman" w:cs="Times New Roman"/>
          <w:sz w:val="24"/>
          <w:szCs w:val="24"/>
        </w:rPr>
        <w:t>1 Cor. 10:14-22). Furthermore, Paul asserts the real presence of Christ in the Eucharist under the sacramental species of bread and wine: “Whoever eats, therefore, the bread or drink the cup of the Lord in an unworthy manner will be guilty of profaning the body and blood of the Lord” (1 Cor. 11:27). And he clearly establishes the connect</w:t>
      </w:r>
      <w:r w:rsidR="00560EBA">
        <w:rPr>
          <w:rFonts w:ascii="Times New Roman" w:hAnsi="Times New Roman" w:cs="Times New Roman"/>
          <w:sz w:val="24"/>
          <w:szCs w:val="24"/>
        </w:rPr>
        <w:t>ions between the Eucharist</w:t>
      </w:r>
      <w:r w:rsidR="00560EBA" w:rsidRPr="004C1914">
        <w:rPr>
          <w:rFonts w:ascii="Times New Roman" w:hAnsi="Times New Roman" w:cs="Times New Roman"/>
          <w:sz w:val="24"/>
          <w:szCs w:val="24"/>
        </w:rPr>
        <w:t xml:space="preserve"> and the Chur</w:t>
      </w:r>
      <w:r w:rsidR="00560EBA">
        <w:rPr>
          <w:rFonts w:ascii="Times New Roman" w:hAnsi="Times New Roman" w:cs="Times New Roman"/>
          <w:sz w:val="24"/>
          <w:szCs w:val="24"/>
        </w:rPr>
        <w:t>ch</w:t>
      </w:r>
      <w:r w:rsidR="00560EBA" w:rsidRPr="004C1914">
        <w:rPr>
          <w:rFonts w:ascii="Times New Roman" w:hAnsi="Times New Roman" w:cs="Times New Roman"/>
          <w:sz w:val="24"/>
          <w:szCs w:val="24"/>
        </w:rPr>
        <w:t>. Really partaking of the body of the Lord in the breaking of the Eucharistic bread, we are taken up into communion with Him and with one another.</w:t>
      </w:r>
      <w:r w:rsidR="00560EBA" w:rsidRPr="004C1914">
        <w:rPr>
          <w:rStyle w:val="FootnoteReference"/>
          <w:rFonts w:ascii="Times New Roman" w:hAnsi="Times New Roman" w:cs="Times New Roman"/>
          <w:sz w:val="24"/>
          <w:szCs w:val="24"/>
        </w:rPr>
        <w:footnoteReference w:id="10"/>
      </w:r>
      <w:r w:rsidR="00325419" w:rsidRPr="00325419">
        <w:rPr>
          <w:rFonts w:ascii="Times New Roman" w:hAnsi="Times New Roman" w:cs="Times New Roman"/>
          <w:sz w:val="24"/>
          <w:szCs w:val="24"/>
        </w:rPr>
        <w:t xml:space="preserve"> </w:t>
      </w:r>
      <w:r w:rsidR="00325419" w:rsidRPr="004C1914">
        <w:rPr>
          <w:rFonts w:ascii="Times New Roman" w:hAnsi="Times New Roman" w:cs="Times New Roman"/>
          <w:sz w:val="24"/>
          <w:szCs w:val="24"/>
        </w:rPr>
        <w:t>Following the command of Jesus, the first Christian community celebrated the memory of th</w:t>
      </w:r>
      <w:r w:rsidR="00542A10">
        <w:rPr>
          <w:rFonts w:ascii="Times New Roman" w:hAnsi="Times New Roman" w:cs="Times New Roman"/>
          <w:sz w:val="24"/>
          <w:szCs w:val="24"/>
        </w:rPr>
        <w:t>eir Lord in a meal (cf. Acts. 2:</w:t>
      </w:r>
      <w:r w:rsidR="009A43DA">
        <w:rPr>
          <w:rFonts w:ascii="Times New Roman" w:hAnsi="Times New Roman" w:cs="Times New Roman"/>
          <w:sz w:val="24"/>
          <w:szCs w:val="24"/>
        </w:rPr>
        <w:t>42; 20:7-16</w:t>
      </w:r>
      <w:r w:rsidR="00325419" w:rsidRPr="004C1914">
        <w:rPr>
          <w:rFonts w:ascii="Times New Roman" w:hAnsi="Times New Roman" w:cs="Times New Roman"/>
          <w:sz w:val="24"/>
          <w:szCs w:val="24"/>
        </w:rPr>
        <w:t>). This celebration is still an essential part of the Church’s life.</w:t>
      </w:r>
    </w:p>
    <w:p w:rsidR="00791A91" w:rsidRPr="0039410E" w:rsidRDefault="00325419" w:rsidP="007266D9">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560EBA" w:rsidRPr="004C1914">
        <w:rPr>
          <w:rFonts w:ascii="Times New Roman" w:hAnsi="Times New Roman" w:cs="Times New Roman"/>
          <w:sz w:val="24"/>
          <w:szCs w:val="24"/>
        </w:rPr>
        <w:t>In brief, the Eucharist is the sum and summary of our faith. The Church draws her life from the Eucharist. This truth does not simply express a daily experience of faith, but recapitulate the heart of the mystery of the Church, in a variety of ways she joyfully experiences the constant fulfillment of the promise. “Lo, I am with you always, in the close of the age.” (Mt. 28:20), but in the Holy Eucharist, through the changing of bread and wine into the body and blood of the Lord, she rejoices in this presence with unique intensity</w:t>
      </w:r>
      <w:r w:rsidR="00B07597">
        <w:rPr>
          <w:rFonts w:ascii="Times New Roman" w:hAnsi="Times New Roman" w:cs="Times New Roman"/>
          <w:sz w:val="24"/>
          <w:szCs w:val="24"/>
        </w:rPr>
        <w:t>.</w:t>
      </w:r>
    </w:p>
    <w:sectPr w:rsidR="00791A91" w:rsidRPr="0039410E" w:rsidSect="00B26BB7">
      <w:footerReference w:type="default" r:id="rId6"/>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BB4" w:rsidRDefault="00D55BB4" w:rsidP="0069167F">
      <w:pPr>
        <w:spacing w:after="0" w:line="240" w:lineRule="auto"/>
      </w:pPr>
      <w:r>
        <w:separator/>
      </w:r>
    </w:p>
  </w:endnote>
  <w:endnote w:type="continuationSeparator" w:id="0">
    <w:p w:rsidR="00D55BB4" w:rsidRDefault="00D55BB4" w:rsidP="006916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839360"/>
      <w:docPartObj>
        <w:docPartGallery w:val="Page Numbers (Bottom of Page)"/>
        <w:docPartUnique/>
      </w:docPartObj>
    </w:sdtPr>
    <w:sdtContent>
      <w:p w:rsidR="00BC537F" w:rsidRDefault="00201154">
        <w:pPr>
          <w:pStyle w:val="Footer"/>
          <w:jc w:val="center"/>
        </w:pPr>
        <w:r>
          <w:fldChar w:fldCharType="begin"/>
        </w:r>
        <w:r w:rsidR="00D55BB4">
          <w:instrText xml:space="preserve"> PAGE   \* MERGEFORMAT </w:instrText>
        </w:r>
        <w:r>
          <w:fldChar w:fldCharType="separate"/>
        </w:r>
        <w:r w:rsidR="009A43DA">
          <w:rPr>
            <w:noProof/>
          </w:rPr>
          <w:t>3</w:t>
        </w:r>
        <w:r>
          <w:rPr>
            <w:noProof/>
          </w:rPr>
          <w:fldChar w:fldCharType="end"/>
        </w:r>
      </w:p>
    </w:sdtContent>
  </w:sdt>
  <w:p w:rsidR="00BC537F" w:rsidRDefault="00BC53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BB4" w:rsidRDefault="00D55BB4" w:rsidP="0069167F">
      <w:pPr>
        <w:spacing w:after="0" w:line="240" w:lineRule="auto"/>
      </w:pPr>
      <w:r>
        <w:separator/>
      </w:r>
    </w:p>
  </w:footnote>
  <w:footnote w:type="continuationSeparator" w:id="0">
    <w:p w:rsidR="00D55BB4" w:rsidRDefault="00D55BB4" w:rsidP="0069167F">
      <w:pPr>
        <w:spacing w:after="0" w:line="240" w:lineRule="auto"/>
      </w:pPr>
      <w:r>
        <w:continuationSeparator/>
      </w:r>
    </w:p>
  </w:footnote>
  <w:footnote w:id="1">
    <w:p w:rsidR="00A0497B" w:rsidRDefault="00A0497B" w:rsidP="00A0497B">
      <w:pPr>
        <w:pStyle w:val="FootnoteText"/>
        <w:rPr>
          <w:rFonts w:ascii="Times New Roman" w:hAnsi="Times New Roman" w:cs="Times New Roman"/>
          <w:b/>
          <w:caps/>
          <w:u w:val="double"/>
          <w:lang w:val="en-GB"/>
        </w:rPr>
      </w:pPr>
      <w:r>
        <w:rPr>
          <w:rStyle w:val="FootnoteReference"/>
          <w:rFonts w:ascii="Times New Roman" w:hAnsi="Times New Roman" w:cs="Times New Roman"/>
          <w:lang w:val="en-GB"/>
        </w:rPr>
        <w:footnoteRef/>
      </w:r>
      <w:r>
        <w:rPr>
          <w:rFonts w:ascii="Times New Roman" w:hAnsi="Times New Roman" w:cs="Times New Roman"/>
          <w:lang w:val="en-GB"/>
        </w:rPr>
        <w:t xml:space="preserve"> Cf. Wilfred J. Harrington, Record of Revelation: The Bible (Chicago: Priory Press, 1965), p. 3.                                                                                                                                                           </w:t>
      </w:r>
    </w:p>
  </w:footnote>
  <w:footnote w:id="2">
    <w:p w:rsidR="00A0497B" w:rsidRDefault="00A0497B" w:rsidP="00A0497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Cf. Rudolf </w:t>
      </w:r>
      <w:proofErr w:type="spellStart"/>
      <w:r>
        <w:rPr>
          <w:rFonts w:ascii="Times New Roman" w:hAnsi="Times New Roman" w:cs="Times New Roman"/>
        </w:rPr>
        <w:t>Schnacknenburg</w:t>
      </w:r>
      <w:proofErr w:type="spellEnd"/>
      <w:r>
        <w:rPr>
          <w:rFonts w:ascii="Times New Roman" w:hAnsi="Times New Roman" w:cs="Times New Roman"/>
        </w:rPr>
        <w:t>,</w:t>
      </w:r>
      <w:r>
        <w:rPr>
          <w:rFonts w:ascii="Times New Roman" w:hAnsi="Times New Roman" w:cs="Times New Roman"/>
          <w:i/>
        </w:rPr>
        <w:t xml:space="preserve"> New Testament Theology Today</w:t>
      </w:r>
      <w:r>
        <w:rPr>
          <w:rFonts w:ascii="Times New Roman" w:hAnsi="Times New Roman" w:cs="Times New Roman"/>
        </w:rPr>
        <w:t>, Transl. by David Askew(New York : Herder &amp;  Herder,1963)p.16</w:t>
      </w:r>
    </w:p>
  </w:footnote>
  <w:footnote w:id="3">
    <w:p w:rsidR="00A0497B" w:rsidRDefault="00A0497B" w:rsidP="00A0497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Cf. Rudolf </w:t>
      </w:r>
      <w:proofErr w:type="spellStart"/>
      <w:r>
        <w:rPr>
          <w:rFonts w:ascii="Times New Roman" w:hAnsi="Times New Roman" w:cs="Times New Roman"/>
        </w:rPr>
        <w:t>Schnacknenburg</w:t>
      </w:r>
      <w:proofErr w:type="spellEnd"/>
      <w:r>
        <w:rPr>
          <w:rFonts w:ascii="Times New Roman" w:hAnsi="Times New Roman" w:cs="Times New Roman"/>
        </w:rPr>
        <w:t xml:space="preserve">, </w:t>
      </w:r>
      <w:r>
        <w:rPr>
          <w:rFonts w:ascii="Times New Roman" w:hAnsi="Times New Roman" w:cs="Times New Roman"/>
          <w:i/>
        </w:rPr>
        <w:t>New Testament Theology Today</w:t>
      </w:r>
      <w:r>
        <w:rPr>
          <w:rFonts w:ascii="Times New Roman" w:hAnsi="Times New Roman" w:cs="Times New Roman"/>
        </w:rPr>
        <w:t>, Transl. by David Askew, p.16</w:t>
      </w:r>
    </w:p>
  </w:footnote>
  <w:footnote w:id="4">
    <w:p w:rsidR="00A0497B" w:rsidRDefault="00A0497B" w:rsidP="00A0497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Cf. Christopher Rowland and Christopher </w:t>
      </w:r>
      <w:proofErr w:type="spellStart"/>
      <w:r>
        <w:rPr>
          <w:rFonts w:ascii="Times New Roman" w:hAnsi="Times New Roman" w:cs="Times New Roman"/>
        </w:rPr>
        <w:t>Tuckett</w:t>
      </w:r>
      <w:proofErr w:type="spellEnd"/>
      <w:r>
        <w:rPr>
          <w:rFonts w:ascii="Times New Roman" w:hAnsi="Times New Roman" w:cs="Times New Roman"/>
        </w:rPr>
        <w:t>, “</w:t>
      </w:r>
      <w:r>
        <w:rPr>
          <w:rFonts w:ascii="Times New Roman" w:hAnsi="Times New Roman" w:cs="Times New Roman"/>
          <w:i/>
        </w:rPr>
        <w:t>The Nature of New Testament Theology: Essays in Honor of Robert Morgan”</w:t>
      </w:r>
      <w:r>
        <w:rPr>
          <w:rFonts w:ascii="Times New Roman" w:hAnsi="Times New Roman" w:cs="Times New Roman"/>
        </w:rPr>
        <w:t xml:space="preserve"> (Oxford, England: Blackwell, 2006), preface, p. xi.</w:t>
      </w:r>
    </w:p>
  </w:footnote>
  <w:footnote w:id="5">
    <w:p w:rsidR="00A0497B" w:rsidRDefault="00A0497B" w:rsidP="00A0497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Cf. </w:t>
      </w:r>
      <w:proofErr w:type="spellStart"/>
      <w:r>
        <w:rPr>
          <w:rFonts w:ascii="Times New Roman" w:hAnsi="Times New Roman" w:cs="Times New Roman"/>
        </w:rPr>
        <w:t>Hendrikus</w:t>
      </w:r>
      <w:proofErr w:type="spellEnd"/>
      <w:r>
        <w:rPr>
          <w:rFonts w:ascii="Times New Roman" w:hAnsi="Times New Roman" w:cs="Times New Roman"/>
        </w:rPr>
        <w:t xml:space="preserve"> Boers, </w:t>
      </w:r>
      <w:r>
        <w:rPr>
          <w:rFonts w:ascii="Times New Roman" w:hAnsi="Times New Roman" w:cs="Times New Roman"/>
          <w:i/>
        </w:rPr>
        <w:t>W</w:t>
      </w:r>
      <w:r w:rsidR="00BC537F">
        <w:rPr>
          <w:rFonts w:ascii="Times New Roman" w:hAnsi="Times New Roman" w:cs="Times New Roman"/>
          <w:i/>
        </w:rPr>
        <w:t>hat is New Testament Theology?</w:t>
      </w:r>
      <w:r>
        <w:rPr>
          <w:rFonts w:ascii="Times New Roman" w:hAnsi="Times New Roman" w:cs="Times New Roman"/>
          <w:i/>
        </w:rPr>
        <w:t xml:space="preserve"> The Rise of Criticism and the Problem of a Theology of the New Testament</w:t>
      </w:r>
      <w:r>
        <w:rPr>
          <w:rFonts w:ascii="Times New Roman" w:hAnsi="Times New Roman" w:cs="Times New Roman"/>
        </w:rPr>
        <w:t>( U S A: Fortress, Press, 1979)p.85</w:t>
      </w:r>
    </w:p>
  </w:footnote>
  <w:footnote w:id="6">
    <w:p w:rsidR="00A0497B" w:rsidRDefault="00A0497B" w:rsidP="00A0497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Cf. </w:t>
      </w:r>
      <w:proofErr w:type="spellStart"/>
      <w:r>
        <w:rPr>
          <w:rFonts w:ascii="Times New Roman" w:hAnsi="Times New Roman" w:cs="Times New Roman"/>
        </w:rPr>
        <w:t>Hendrikus</w:t>
      </w:r>
      <w:proofErr w:type="spellEnd"/>
      <w:r>
        <w:rPr>
          <w:rFonts w:ascii="Times New Roman" w:hAnsi="Times New Roman" w:cs="Times New Roman"/>
        </w:rPr>
        <w:t xml:space="preserve"> Boers,</w:t>
      </w:r>
      <w:r>
        <w:rPr>
          <w:rFonts w:ascii="Times New Roman" w:hAnsi="Times New Roman" w:cs="Times New Roman"/>
          <w:i/>
        </w:rPr>
        <w:t xml:space="preserve"> What is New Testament Theology</w:t>
      </w:r>
      <w:r>
        <w:rPr>
          <w:rFonts w:ascii="Times New Roman" w:hAnsi="Times New Roman" w:cs="Times New Roman"/>
        </w:rPr>
        <w:t>?, p.15</w:t>
      </w:r>
    </w:p>
  </w:footnote>
  <w:footnote w:id="7">
    <w:p w:rsidR="00A0497B" w:rsidRDefault="00A0497B" w:rsidP="00A0497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Cf. DONAHUE J. R., “The changing shape of New Testament Theology”, Theological Studies 50 (1989), p. 315-317</w:t>
      </w:r>
    </w:p>
  </w:footnote>
  <w:footnote w:id="8">
    <w:p w:rsidR="00A0497B" w:rsidRDefault="00A0497B" w:rsidP="00A0497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Cf. Bella Peter, Challenges to New Testament Theology: A n Attempt to justify the Enterprise</w:t>
      </w:r>
      <w:proofErr w:type="gramStart"/>
      <w:r>
        <w:rPr>
          <w:rFonts w:ascii="Times New Roman" w:hAnsi="Times New Roman" w:cs="Times New Roman"/>
        </w:rPr>
        <w:t>,(</w:t>
      </w:r>
      <w:proofErr w:type="gramEnd"/>
      <w:r>
        <w:rPr>
          <w:rFonts w:ascii="Times New Roman" w:hAnsi="Times New Roman" w:cs="Times New Roman"/>
        </w:rPr>
        <w:t xml:space="preserve">WUNT 2.95. Tubingen: Mohr </w:t>
      </w:r>
      <w:proofErr w:type="spellStart"/>
      <w:r>
        <w:rPr>
          <w:rFonts w:ascii="Times New Roman" w:hAnsi="Times New Roman" w:cs="Times New Roman"/>
        </w:rPr>
        <w:t>Siebeck</w:t>
      </w:r>
      <w:proofErr w:type="spellEnd"/>
      <w:r>
        <w:rPr>
          <w:rFonts w:ascii="Times New Roman" w:hAnsi="Times New Roman" w:cs="Times New Roman"/>
        </w:rPr>
        <w:t>, 1997), p 4</w:t>
      </w:r>
    </w:p>
  </w:footnote>
  <w:footnote w:id="9">
    <w:p w:rsidR="00560EBA" w:rsidRPr="00474AFF" w:rsidRDefault="00560EBA" w:rsidP="00560EBA">
      <w:pPr>
        <w:pStyle w:val="FootnoteText"/>
        <w:jc w:val="both"/>
        <w:rPr>
          <w:rFonts w:ascii="Times New Roman" w:hAnsi="Times New Roman" w:cs="Times New Roman"/>
        </w:rPr>
      </w:pPr>
      <w:r w:rsidRPr="00474AFF">
        <w:rPr>
          <w:rStyle w:val="FootnoteReference"/>
          <w:rFonts w:ascii="Times New Roman" w:hAnsi="Times New Roman" w:cs="Times New Roman"/>
        </w:rPr>
        <w:footnoteRef/>
      </w:r>
      <w:r w:rsidRPr="00474AFF">
        <w:rPr>
          <w:rFonts w:ascii="Times New Roman" w:hAnsi="Times New Roman" w:cs="Times New Roman"/>
        </w:rPr>
        <w:t xml:space="preserve"> Cf. </w:t>
      </w:r>
      <w:proofErr w:type="gramStart"/>
      <w:r w:rsidRPr="00474AFF">
        <w:rPr>
          <w:rFonts w:ascii="Times New Roman" w:hAnsi="Times New Roman" w:cs="Times New Roman"/>
          <w:i/>
          <w:iCs/>
        </w:rPr>
        <w:t>The</w:t>
      </w:r>
      <w:proofErr w:type="gramEnd"/>
      <w:r w:rsidRPr="00474AFF">
        <w:rPr>
          <w:rFonts w:ascii="Times New Roman" w:hAnsi="Times New Roman" w:cs="Times New Roman"/>
          <w:i/>
          <w:iCs/>
        </w:rPr>
        <w:t xml:space="preserve"> </w:t>
      </w:r>
      <w:proofErr w:type="spellStart"/>
      <w:r w:rsidRPr="00474AFF">
        <w:rPr>
          <w:rFonts w:ascii="Times New Roman" w:hAnsi="Times New Roman" w:cs="Times New Roman"/>
          <w:i/>
          <w:iCs/>
        </w:rPr>
        <w:t>Navare</w:t>
      </w:r>
      <w:proofErr w:type="spellEnd"/>
      <w:r w:rsidRPr="00474AFF">
        <w:rPr>
          <w:rFonts w:ascii="Times New Roman" w:hAnsi="Times New Roman" w:cs="Times New Roman"/>
          <w:i/>
          <w:iCs/>
        </w:rPr>
        <w:t xml:space="preserve"> Bible, New Testament; in the Revised Standard Version</w:t>
      </w:r>
      <w:r w:rsidRPr="00474AFF">
        <w:rPr>
          <w:rFonts w:ascii="Times New Roman" w:hAnsi="Times New Roman" w:cs="Times New Roman"/>
        </w:rPr>
        <w:t xml:space="preserve"> and the New Vulgate with a commentary by members of the Faculty of Theology of the University of </w:t>
      </w:r>
      <w:proofErr w:type="spellStart"/>
      <w:r w:rsidRPr="00474AFF">
        <w:rPr>
          <w:rFonts w:ascii="Times New Roman" w:hAnsi="Times New Roman" w:cs="Times New Roman"/>
        </w:rPr>
        <w:t>Navare</w:t>
      </w:r>
      <w:proofErr w:type="spellEnd"/>
      <w:r w:rsidRPr="00474AFF">
        <w:rPr>
          <w:rFonts w:ascii="Times New Roman" w:hAnsi="Times New Roman" w:cs="Times New Roman"/>
        </w:rPr>
        <w:t xml:space="preserve"> (Dublin: Four Courts Press, 2008), p. 612.</w:t>
      </w:r>
    </w:p>
  </w:footnote>
  <w:footnote w:id="10">
    <w:p w:rsidR="00560EBA" w:rsidRPr="00474AFF" w:rsidRDefault="00560EBA" w:rsidP="00560EBA">
      <w:pPr>
        <w:pStyle w:val="FootnoteText"/>
        <w:jc w:val="both"/>
        <w:rPr>
          <w:rFonts w:ascii="Times New Roman" w:hAnsi="Times New Roman" w:cs="Times New Roman"/>
        </w:rPr>
      </w:pPr>
      <w:r w:rsidRPr="00474AFF">
        <w:rPr>
          <w:rStyle w:val="FootnoteReference"/>
          <w:rFonts w:ascii="Times New Roman" w:hAnsi="Times New Roman" w:cs="Times New Roman"/>
        </w:rPr>
        <w:footnoteRef/>
      </w:r>
      <w:r w:rsidRPr="00474AFF">
        <w:rPr>
          <w:rFonts w:ascii="Times New Roman" w:hAnsi="Times New Roman" w:cs="Times New Roman"/>
        </w:rPr>
        <w:t xml:space="preserve"> Cf. </w:t>
      </w:r>
      <w:proofErr w:type="gramStart"/>
      <w:r w:rsidRPr="00474AFF">
        <w:rPr>
          <w:rFonts w:ascii="Times New Roman" w:hAnsi="Times New Roman" w:cs="Times New Roman"/>
          <w:i/>
          <w:iCs/>
        </w:rPr>
        <w:t>The</w:t>
      </w:r>
      <w:proofErr w:type="gramEnd"/>
      <w:r w:rsidRPr="00474AFF">
        <w:rPr>
          <w:rFonts w:ascii="Times New Roman" w:hAnsi="Times New Roman" w:cs="Times New Roman"/>
          <w:i/>
          <w:iCs/>
        </w:rPr>
        <w:t xml:space="preserve"> </w:t>
      </w:r>
      <w:proofErr w:type="spellStart"/>
      <w:r w:rsidRPr="00474AFF">
        <w:rPr>
          <w:rFonts w:ascii="Times New Roman" w:hAnsi="Times New Roman" w:cs="Times New Roman"/>
          <w:i/>
          <w:iCs/>
        </w:rPr>
        <w:t>Navare</w:t>
      </w:r>
      <w:proofErr w:type="spellEnd"/>
      <w:r w:rsidRPr="00474AFF">
        <w:rPr>
          <w:rFonts w:ascii="Times New Roman" w:hAnsi="Times New Roman" w:cs="Times New Roman"/>
          <w:i/>
          <w:iCs/>
        </w:rPr>
        <w:t xml:space="preserve"> Bible, New Testament; in the Revised Standard Version,</w:t>
      </w:r>
      <w:r w:rsidRPr="00474AFF">
        <w:rPr>
          <w:rFonts w:ascii="Times New Roman" w:hAnsi="Times New Roman" w:cs="Times New Roman"/>
        </w:rPr>
        <w:t xml:space="preserve"> p. 612.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9410E"/>
    <w:rsid w:val="00201154"/>
    <w:rsid w:val="002071E8"/>
    <w:rsid w:val="002632D7"/>
    <w:rsid w:val="00325419"/>
    <w:rsid w:val="0037148C"/>
    <w:rsid w:val="0039410E"/>
    <w:rsid w:val="004A47F4"/>
    <w:rsid w:val="004D5783"/>
    <w:rsid w:val="004F32AD"/>
    <w:rsid w:val="00542A10"/>
    <w:rsid w:val="00560EBA"/>
    <w:rsid w:val="005D25D4"/>
    <w:rsid w:val="00632A2A"/>
    <w:rsid w:val="0069167F"/>
    <w:rsid w:val="00703AF9"/>
    <w:rsid w:val="007266D9"/>
    <w:rsid w:val="007C6A8C"/>
    <w:rsid w:val="007F49FE"/>
    <w:rsid w:val="00802FD4"/>
    <w:rsid w:val="00875600"/>
    <w:rsid w:val="008A2EB2"/>
    <w:rsid w:val="009A43DA"/>
    <w:rsid w:val="00A0497B"/>
    <w:rsid w:val="00A27868"/>
    <w:rsid w:val="00B07597"/>
    <w:rsid w:val="00B26BB7"/>
    <w:rsid w:val="00B827B9"/>
    <w:rsid w:val="00BC537F"/>
    <w:rsid w:val="00C66545"/>
    <w:rsid w:val="00CB43CA"/>
    <w:rsid w:val="00D40442"/>
    <w:rsid w:val="00D55BB4"/>
    <w:rsid w:val="00DC087B"/>
    <w:rsid w:val="00DD3206"/>
    <w:rsid w:val="00DF490C"/>
    <w:rsid w:val="00F122FB"/>
    <w:rsid w:val="00F23047"/>
    <w:rsid w:val="00FF50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EB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916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167F"/>
    <w:rPr>
      <w:sz w:val="20"/>
      <w:szCs w:val="20"/>
    </w:rPr>
  </w:style>
  <w:style w:type="character" w:styleId="FootnoteReference">
    <w:name w:val="footnote reference"/>
    <w:basedOn w:val="DefaultParagraphFont"/>
    <w:uiPriority w:val="99"/>
    <w:semiHidden/>
    <w:unhideWhenUsed/>
    <w:rsid w:val="0069167F"/>
    <w:rPr>
      <w:vertAlign w:val="superscript"/>
    </w:rPr>
  </w:style>
  <w:style w:type="paragraph" w:styleId="Header">
    <w:name w:val="header"/>
    <w:basedOn w:val="Normal"/>
    <w:link w:val="HeaderChar"/>
    <w:uiPriority w:val="99"/>
    <w:semiHidden/>
    <w:unhideWhenUsed/>
    <w:rsid w:val="00BC53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C537F"/>
  </w:style>
  <w:style w:type="paragraph" w:styleId="Footer">
    <w:name w:val="footer"/>
    <w:basedOn w:val="Normal"/>
    <w:link w:val="FooterChar"/>
    <w:uiPriority w:val="99"/>
    <w:unhideWhenUsed/>
    <w:rsid w:val="00BC53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37F"/>
  </w:style>
</w:styles>
</file>

<file path=word/webSettings.xml><?xml version="1.0" encoding="utf-8"?>
<w:webSettings xmlns:r="http://schemas.openxmlformats.org/officeDocument/2006/relationships" xmlns:w="http://schemas.openxmlformats.org/wordprocessingml/2006/main">
  <w:divs>
    <w:div w:id="1590769833">
      <w:bodyDiv w:val="1"/>
      <w:marLeft w:val="0"/>
      <w:marRight w:val="0"/>
      <w:marTop w:val="0"/>
      <w:marBottom w:val="0"/>
      <w:divBdr>
        <w:top w:val="none" w:sz="0" w:space="0" w:color="auto"/>
        <w:left w:val="none" w:sz="0" w:space="0" w:color="auto"/>
        <w:bottom w:val="none" w:sz="0" w:space="0" w:color="auto"/>
        <w:right w:val="none" w:sz="0" w:space="0" w:color="auto"/>
      </w:divBdr>
    </w:div>
    <w:div w:id="170393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MATHIAS-MARY</dc:creator>
  <cp:lastModifiedBy>MATHIAS-MARY</cp:lastModifiedBy>
  <cp:revision>5</cp:revision>
  <dcterms:created xsi:type="dcterms:W3CDTF">2021-01-31T11:41:00Z</dcterms:created>
  <dcterms:modified xsi:type="dcterms:W3CDTF">2021-01-31T17:24:00Z</dcterms:modified>
</cp:coreProperties>
</file>