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346" w:rsidRDefault="007C2F3F" w:rsidP="007C2F3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Name: Emmanuel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Chukwudum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Okpara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DI/934</w:t>
      </w:r>
    </w:p>
    <w:p w:rsidR="007C2F3F" w:rsidRDefault="007C2F3F" w:rsidP="007C2F3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Lecturer: Rev. Fr. </w:t>
      </w:r>
      <w:r w:rsidR="00CA4DAC">
        <w:rPr>
          <w:rFonts w:ascii="Times New Roman" w:hAnsi="Times New Roman" w:cs="Times New Roman"/>
          <w:b/>
          <w:sz w:val="24"/>
          <w:szCs w:val="24"/>
        </w:rPr>
        <w:t xml:space="preserve">(Prof.) Gilbert </w:t>
      </w:r>
      <w:proofErr w:type="spellStart"/>
      <w:r w:rsidR="00CA4DAC">
        <w:rPr>
          <w:rFonts w:ascii="Times New Roman" w:hAnsi="Times New Roman" w:cs="Times New Roman"/>
          <w:b/>
          <w:sz w:val="24"/>
          <w:szCs w:val="24"/>
        </w:rPr>
        <w:t>Munana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OP</w:t>
      </w:r>
    </w:p>
    <w:p w:rsidR="007C2F3F" w:rsidRDefault="007C2F3F" w:rsidP="007C2F3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Course: New Testament Theology</w:t>
      </w:r>
    </w:p>
    <w:p w:rsidR="007C2F3F" w:rsidRPr="00D7743D" w:rsidRDefault="007C2F3F" w:rsidP="007C2F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D7743D" w:rsidRPr="00D7743D">
        <w:rPr>
          <w:rFonts w:ascii="Times New Roman" w:hAnsi="Times New Roman" w:cs="Times New Roman"/>
          <w:b/>
          <w:sz w:val="24"/>
          <w:szCs w:val="24"/>
        </w:rPr>
        <w:t>Summary</w:t>
      </w:r>
      <w:r w:rsidR="00D7743D">
        <w:rPr>
          <w:rFonts w:ascii="Times New Roman" w:hAnsi="Times New Roman" w:cs="Times New Roman"/>
          <w:b/>
          <w:sz w:val="24"/>
          <w:szCs w:val="24"/>
        </w:rPr>
        <w:t xml:space="preserve"> of “</w:t>
      </w:r>
      <w:r w:rsidR="00D7743D" w:rsidRPr="00D7743D">
        <w:rPr>
          <w:rFonts w:ascii="Times New Roman" w:hAnsi="Times New Roman" w:cs="Times New Roman"/>
          <w:b/>
          <w:i/>
          <w:sz w:val="24"/>
          <w:szCs w:val="24"/>
        </w:rPr>
        <w:t xml:space="preserve">Unity and/or/in Diversity? </w:t>
      </w:r>
      <w:proofErr w:type="gramStart"/>
      <w:r w:rsidR="00D7743D" w:rsidRPr="00D7743D">
        <w:rPr>
          <w:rFonts w:ascii="Times New Roman" w:hAnsi="Times New Roman" w:cs="Times New Roman"/>
          <w:b/>
          <w:i/>
          <w:sz w:val="24"/>
          <w:szCs w:val="24"/>
        </w:rPr>
        <w:t>A Survey of Recent New Testament Theologies</w:t>
      </w:r>
      <w:r w:rsidR="00D7743D">
        <w:rPr>
          <w:rFonts w:ascii="Times New Roman" w:hAnsi="Times New Roman" w:cs="Times New Roman"/>
          <w:b/>
          <w:i/>
          <w:sz w:val="24"/>
          <w:szCs w:val="24"/>
        </w:rPr>
        <w:t>.”</w:t>
      </w:r>
      <w:proofErr w:type="gramEnd"/>
    </w:p>
    <w:p w:rsidR="006470DF" w:rsidRDefault="00D7743D" w:rsidP="007C2F3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470DF">
        <w:rPr>
          <w:rFonts w:ascii="Times New Roman" w:hAnsi="Times New Roman" w:cs="Times New Roman"/>
          <w:b/>
          <w:sz w:val="24"/>
          <w:szCs w:val="24"/>
          <w:u w:val="single"/>
        </w:rPr>
        <w:t>Introduction</w:t>
      </w:r>
    </w:p>
    <w:p w:rsidR="006470DF" w:rsidRDefault="006470DF" w:rsidP="003069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C53E1">
        <w:rPr>
          <w:rFonts w:ascii="Times New Roman" w:hAnsi="Times New Roman" w:cs="Times New Roman"/>
          <w:sz w:val="24"/>
          <w:szCs w:val="24"/>
        </w:rPr>
        <w:t xml:space="preserve">Recent </w:t>
      </w:r>
      <w:r w:rsidR="00D7743D" w:rsidRPr="00D7743D">
        <w:rPr>
          <w:rFonts w:ascii="Times New Roman" w:hAnsi="Times New Roman" w:cs="Times New Roman"/>
          <w:sz w:val="24"/>
          <w:szCs w:val="24"/>
        </w:rPr>
        <w:t>years have witnessed an unprecedented explosion in</w:t>
      </w:r>
      <w:r w:rsidR="00D7743D">
        <w:rPr>
          <w:rFonts w:ascii="Times New Roman" w:hAnsi="Times New Roman" w:cs="Times New Roman"/>
          <w:sz w:val="24"/>
          <w:szCs w:val="24"/>
        </w:rPr>
        <w:t xml:space="preserve"> </w:t>
      </w:r>
      <w:r w:rsidR="00D7743D" w:rsidRPr="00D7743D">
        <w:rPr>
          <w:rFonts w:ascii="Times New Roman" w:hAnsi="Times New Roman" w:cs="Times New Roman"/>
          <w:sz w:val="24"/>
          <w:szCs w:val="24"/>
        </w:rPr>
        <w:t>the publication of New Testament theologies (NTT).</w:t>
      </w:r>
      <w:r w:rsidR="00D7743D">
        <w:rPr>
          <w:rFonts w:ascii="Times New Roman" w:hAnsi="Times New Roman" w:cs="Times New Roman"/>
          <w:sz w:val="24"/>
          <w:szCs w:val="24"/>
        </w:rPr>
        <w:t xml:space="preserve"> </w:t>
      </w:r>
      <w:r w:rsidR="00D7743D" w:rsidRPr="00D7743D">
        <w:rPr>
          <w:rFonts w:ascii="Times New Roman" w:hAnsi="Times New Roman" w:cs="Times New Roman"/>
          <w:sz w:val="24"/>
          <w:szCs w:val="24"/>
        </w:rPr>
        <w:t>Yet the proliferation of</w:t>
      </w:r>
      <w:r w:rsidR="00D7743D">
        <w:rPr>
          <w:rFonts w:ascii="Times New Roman" w:hAnsi="Times New Roman" w:cs="Times New Roman"/>
          <w:sz w:val="24"/>
          <w:szCs w:val="24"/>
        </w:rPr>
        <w:t xml:space="preserve"> </w:t>
      </w:r>
      <w:r w:rsidR="00D7743D" w:rsidRPr="00D7743D">
        <w:rPr>
          <w:rFonts w:ascii="Times New Roman" w:hAnsi="Times New Roman" w:cs="Times New Roman"/>
          <w:sz w:val="24"/>
          <w:szCs w:val="24"/>
        </w:rPr>
        <w:t>those options can make it difficult for those outside the discipline,</w:t>
      </w:r>
      <w:r w:rsidR="00D7743D">
        <w:rPr>
          <w:rFonts w:ascii="Times New Roman" w:hAnsi="Times New Roman" w:cs="Times New Roman"/>
          <w:sz w:val="24"/>
          <w:szCs w:val="24"/>
        </w:rPr>
        <w:t xml:space="preserve"> </w:t>
      </w:r>
      <w:r w:rsidR="00D7743D" w:rsidRPr="00D7743D">
        <w:rPr>
          <w:rFonts w:ascii="Times New Roman" w:hAnsi="Times New Roman" w:cs="Times New Roman"/>
          <w:sz w:val="24"/>
          <w:szCs w:val="24"/>
        </w:rPr>
        <w:t>and even scholarly insiders, to stay current with research.</w:t>
      </w:r>
      <w:r w:rsidR="00D7743D">
        <w:rPr>
          <w:rFonts w:ascii="Times New Roman" w:hAnsi="Times New Roman" w:cs="Times New Roman"/>
          <w:sz w:val="24"/>
          <w:szCs w:val="24"/>
        </w:rPr>
        <w:t xml:space="preserve"> In the article under review, </w:t>
      </w:r>
      <w:proofErr w:type="spellStart"/>
      <w:r w:rsidR="00D7743D">
        <w:rPr>
          <w:rFonts w:ascii="Times New Roman" w:hAnsi="Times New Roman" w:cs="Times New Roman"/>
          <w:sz w:val="24"/>
          <w:szCs w:val="24"/>
        </w:rPr>
        <w:t>Wendel</w:t>
      </w:r>
      <w:proofErr w:type="spellEnd"/>
      <w:r w:rsidR="00D7743D">
        <w:rPr>
          <w:rFonts w:ascii="Times New Roman" w:hAnsi="Times New Roman" w:cs="Times New Roman"/>
          <w:sz w:val="24"/>
          <w:szCs w:val="24"/>
        </w:rPr>
        <w:t xml:space="preserve"> Sun observes that one common feature in the recent contributions to New Testament theologies </w:t>
      </w:r>
      <w:r w:rsidR="00D7743D" w:rsidRPr="00D7743D">
        <w:rPr>
          <w:rFonts w:ascii="Times New Roman" w:hAnsi="Times New Roman" w:cs="Times New Roman"/>
          <w:sz w:val="24"/>
          <w:szCs w:val="24"/>
        </w:rPr>
        <w:t>is their attention to the issue of</w:t>
      </w:r>
      <w:r w:rsidR="00D7743D">
        <w:rPr>
          <w:rFonts w:ascii="Times New Roman" w:hAnsi="Times New Roman" w:cs="Times New Roman"/>
          <w:sz w:val="24"/>
          <w:szCs w:val="24"/>
        </w:rPr>
        <w:t xml:space="preserve"> </w:t>
      </w:r>
      <w:r w:rsidR="00D7743D" w:rsidRPr="00D7743D">
        <w:rPr>
          <w:rFonts w:ascii="Times New Roman" w:hAnsi="Times New Roman" w:cs="Times New Roman"/>
          <w:sz w:val="24"/>
          <w:szCs w:val="24"/>
        </w:rPr>
        <w:t xml:space="preserve">the unity and diversity of the </w:t>
      </w:r>
      <w:r w:rsidR="00B43884">
        <w:rPr>
          <w:rFonts w:ascii="Times New Roman" w:hAnsi="Times New Roman" w:cs="Times New Roman"/>
          <w:sz w:val="24"/>
          <w:szCs w:val="24"/>
        </w:rPr>
        <w:t xml:space="preserve">New </w:t>
      </w:r>
      <w:proofErr w:type="spellStart"/>
      <w:r w:rsidR="00B43884">
        <w:rPr>
          <w:rFonts w:ascii="Times New Roman" w:hAnsi="Times New Roman" w:cs="Times New Roman"/>
          <w:sz w:val="24"/>
          <w:szCs w:val="24"/>
        </w:rPr>
        <w:t>Teastament</w:t>
      </w:r>
      <w:proofErr w:type="spellEnd"/>
      <w:r w:rsidR="00B43884">
        <w:rPr>
          <w:rFonts w:ascii="Times New Roman" w:hAnsi="Times New Roman" w:cs="Times New Roman"/>
          <w:sz w:val="24"/>
          <w:szCs w:val="24"/>
        </w:rPr>
        <w:t xml:space="preserve"> (</w:t>
      </w:r>
      <w:r w:rsidR="00D7743D" w:rsidRPr="00D7743D">
        <w:rPr>
          <w:rFonts w:ascii="Times New Roman" w:hAnsi="Times New Roman" w:cs="Times New Roman"/>
          <w:sz w:val="24"/>
          <w:szCs w:val="24"/>
        </w:rPr>
        <w:t>NT</w:t>
      </w:r>
      <w:r w:rsidR="00B43884">
        <w:rPr>
          <w:rFonts w:ascii="Times New Roman" w:hAnsi="Times New Roman" w:cs="Times New Roman"/>
          <w:sz w:val="24"/>
          <w:szCs w:val="24"/>
        </w:rPr>
        <w:t>)</w:t>
      </w:r>
      <w:r w:rsidR="00D7743D" w:rsidRPr="00D7743D">
        <w:rPr>
          <w:rFonts w:ascii="Times New Roman" w:hAnsi="Times New Roman" w:cs="Times New Roman"/>
          <w:sz w:val="24"/>
          <w:szCs w:val="24"/>
        </w:rPr>
        <w:t>.</w:t>
      </w:r>
      <w:r w:rsidR="00D7743D">
        <w:rPr>
          <w:rFonts w:ascii="Times New Roman" w:hAnsi="Times New Roman" w:cs="Times New Roman"/>
          <w:sz w:val="24"/>
          <w:szCs w:val="24"/>
        </w:rPr>
        <w:t xml:space="preserve"> </w:t>
      </w:r>
      <w:r w:rsidR="0030692C">
        <w:rPr>
          <w:rFonts w:ascii="Times New Roman" w:hAnsi="Times New Roman" w:cs="Times New Roman"/>
          <w:sz w:val="24"/>
          <w:szCs w:val="24"/>
        </w:rPr>
        <w:t xml:space="preserve">He </w:t>
      </w:r>
      <w:r w:rsidR="0030692C" w:rsidRPr="0030692C">
        <w:rPr>
          <w:rFonts w:ascii="Times New Roman" w:hAnsi="Times New Roman" w:cs="Times New Roman"/>
          <w:sz w:val="24"/>
          <w:szCs w:val="24"/>
        </w:rPr>
        <w:t>argue</w:t>
      </w:r>
      <w:r w:rsidR="0030692C">
        <w:rPr>
          <w:rFonts w:ascii="Times New Roman" w:hAnsi="Times New Roman" w:cs="Times New Roman"/>
          <w:sz w:val="24"/>
          <w:szCs w:val="24"/>
        </w:rPr>
        <w:t>s</w:t>
      </w:r>
      <w:r w:rsidR="0030692C" w:rsidRPr="0030692C">
        <w:rPr>
          <w:rFonts w:ascii="Times New Roman" w:hAnsi="Times New Roman" w:cs="Times New Roman"/>
          <w:sz w:val="24"/>
          <w:szCs w:val="24"/>
        </w:rPr>
        <w:t xml:space="preserve"> that although the theme of unity and diversity has been</w:t>
      </w:r>
      <w:r w:rsidR="0030692C">
        <w:rPr>
          <w:rFonts w:ascii="Times New Roman" w:hAnsi="Times New Roman" w:cs="Times New Roman"/>
          <w:sz w:val="24"/>
          <w:szCs w:val="24"/>
        </w:rPr>
        <w:t xml:space="preserve"> </w:t>
      </w:r>
      <w:r w:rsidR="0030692C" w:rsidRPr="0030692C">
        <w:rPr>
          <w:rFonts w:ascii="Times New Roman" w:hAnsi="Times New Roman" w:cs="Times New Roman"/>
          <w:sz w:val="24"/>
          <w:szCs w:val="24"/>
        </w:rPr>
        <w:t>treated in nearly every NTT publication, it has yet to be articulated</w:t>
      </w:r>
      <w:r w:rsidR="0030692C">
        <w:rPr>
          <w:rFonts w:ascii="Times New Roman" w:hAnsi="Times New Roman" w:cs="Times New Roman"/>
          <w:sz w:val="24"/>
          <w:szCs w:val="24"/>
        </w:rPr>
        <w:t xml:space="preserve"> </w:t>
      </w:r>
      <w:r w:rsidR="0030692C" w:rsidRPr="0030692C">
        <w:rPr>
          <w:rFonts w:ascii="Times New Roman" w:hAnsi="Times New Roman" w:cs="Times New Roman"/>
          <w:sz w:val="24"/>
          <w:szCs w:val="24"/>
        </w:rPr>
        <w:t>in a way that does justice to the unifying narrative structure of the</w:t>
      </w:r>
      <w:r w:rsidR="0030692C">
        <w:rPr>
          <w:rFonts w:ascii="Times New Roman" w:hAnsi="Times New Roman" w:cs="Times New Roman"/>
          <w:sz w:val="24"/>
          <w:szCs w:val="24"/>
        </w:rPr>
        <w:t xml:space="preserve"> </w:t>
      </w:r>
      <w:r w:rsidR="0030692C" w:rsidRPr="0030692C">
        <w:rPr>
          <w:rFonts w:ascii="Times New Roman" w:hAnsi="Times New Roman" w:cs="Times New Roman"/>
          <w:sz w:val="24"/>
          <w:szCs w:val="24"/>
        </w:rPr>
        <w:t>NT message while simultaneously taking account of the unique</w:t>
      </w:r>
      <w:r w:rsidR="0030692C">
        <w:rPr>
          <w:rFonts w:ascii="Times New Roman" w:hAnsi="Times New Roman" w:cs="Times New Roman"/>
          <w:sz w:val="24"/>
          <w:szCs w:val="24"/>
        </w:rPr>
        <w:t xml:space="preserve"> </w:t>
      </w:r>
      <w:r w:rsidR="0030692C" w:rsidRPr="0030692C">
        <w:rPr>
          <w:rFonts w:ascii="Times New Roman" w:hAnsi="Times New Roman" w:cs="Times New Roman"/>
          <w:sz w:val="24"/>
          <w:szCs w:val="24"/>
        </w:rPr>
        <w:t>contribution of each NT document.</w:t>
      </w:r>
      <w:r w:rsidR="00B43884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</w:p>
    <w:p w:rsidR="00B43884" w:rsidRDefault="00B43884" w:rsidP="0030692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Recent </w:t>
      </w:r>
      <w:r w:rsidRPr="00B43884">
        <w:rPr>
          <w:rFonts w:ascii="Times New Roman" w:hAnsi="Times New Roman" w:cs="Times New Roman"/>
          <w:b/>
          <w:sz w:val="24"/>
          <w:szCs w:val="24"/>
          <w:u w:val="single"/>
        </w:rPr>
        <w:t>Publication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Pr="00B43884">
        <w:rPr>
          <w:rFonts w:ascii="Times New Roman" w:hAnsi="Times New Roman" w:cs="Times New Roman"/>
          <w:b/>
          <w:sz w:val="24"/>
          <w:szCs w:val="24"/>
          <w:u w:val="single"/>
        </w:rPr>
        <w:t xml:space="preserve"> of New Testament Theologies (NTT).</w:t>
      </w:r>
      <w:proofErr w:type="gramEnd"/>
    </w:p>
    <w:p w:rsidR="00B43884" w:rsidRDefault="00B43884" w:rsidP="009002E4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43884">
        <w:rPr>
          <w:rFonts w:ascii="Times New Roman" w:hAnsi="Times New Roman" w:cs="Times New Roman"/>
          <w:sz w:val="24"/>
          <w:szCs w:val="24"/>
        </w:rPr>
        <w:t>Heikki</w:t>
      </w:r>
      <w:proofErr w:type="spellEnd"/>
      <w:r w:rsidR="00C658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884">
        <w:rPr>
          <w:rFonts w:ascii="Times New Roman" w:hAnsi="Times New Roman" w:cs="Times New Roman"/>
          <w:sz w:val="24"/>
          <w:szCs w:val="24"/>
        </w:rPr>
        <w:t>Räisänen</w:t>
      </w:r>
      <w:proofErr w:type="spellEnd"/>
      <w:r w:rsidRPr="00B43884">
        <w:rPr>
          <w:rFonts w:ascii="Times New Roman" w:hAnsi="Times New Roman" w:cs="Times New Roman"/>
          <w:sz w:val="24"/>
          <w:szCs w:val="24"/>
        </w:rPr>
        <w:t xml:space="preserve"> </w:t>
      </w:r>
      <w:r w:rsidR="00C6589C">
        <w:rPr>
          <w:rFonts w:ascii="Times New Roman" w:hAnsi="Times New Roman" w:cs="Times New Roman"/>
          <w:sz w:val="24"/>
          <w:szCs w:val="24"/>
        </w:rPr>
        <w:t xml:space="preserve">and Thomas </w:t>
      </w:r>
      <w:proofErr w:type="spellStart"/>
      <w:r w:rsidR="00C6589C">
        <w:rPr>
          <w:rFonts w:ascii="Times New Roman" w:hAnsi="Times New Roman" w:cs="Times New Roman"/>
          <w:sz w:val="24"/>
          <w:szCs w:val="24"/>
        </w:rPr>
        <w:t>Hatina</w:t>
      </w:r>
      <w:proofErr w:type="spellEnd"/>
      <w:r w:rsidR="00C6589C">
        <w:rPr>
          <w:rFonts w:ascii="Times New Roman" w:hAnsi="Times New Roman" w:cs="Times New Roman"/>
          <w:sz w:val="24"/>
          <w:szCs w:val="24"/>
        </w:rPr>
        <w:t xml:space="preserve"> </w:t>
      </w:r>
      <w:r w:rsidR="00C6589C" w:rsidRPr="00C6589C">
        <w:rPr>
          <w:rFonts w:ascii="Times New Roman" w:hAnsi="Times New Roman" w:cs="Times New Roman"/>
          <w:sz w:val="24"/>
          <w:szCs w:val="24"/>
        </w:rPr>
        <w:t>argue that the work of the biblical scholar is not theological and</w:t>
      </w:r>
      <w:r w:rsidR="00C6589C">
        <w:rPr>
          <w:rFonts w:ascii="Times New Roman" w:hAnsi="Times New Roman" w:cs="Times New Roman"/>
          <w:sz w:val="24"/>
          <w:szCs w:val="24"/>
        </w:rPr>
        <w:t xml:space="preserve"> </w:t>
      </w:r>
      <w:r w:rsidR="00C6589C" w:rsidRPr="00C6589C">
        <w:rPr>
          <w:rFonts w:ascii="Times New Roman" w:hAnsi="Times New Roman" w:cs="Times New Roman"/>
          <w:sz w:val="24"/>
          <w:szCs w:val="24"/>
        </w:rPr>
        <w:t>normative, but strictly historical and descriptive.</w:t>
      </w:r>
      <w:r w:rsidR="00C6589C">
        <w:rPr>
          <w:rFonts w:ascii="Times New Roman" w:hAnsi="Times New Roman" w:cs="Times New Roman"/>
          <w:sz w:val="24"/>
          <w:szCs w:val="24"/>
        </w:rPr>
        <w:t xml:space="preserve"> For them, </w:t>
      </w:r>
      <w:r w:rsidR="00C6589C" w:rsidRPr="00C6589C">
        <w:rPr>
          <w:rFonts w:ascii="Times New Roman" w:hAnsi="Times New Roman" w:cs="Times New Roman"/>
          <w:sz w:val="24"/>
          <w:szCs w:val="24"/>
        </w:rPr>
        <w:t>unity and diversity</w:t>
      </w:r>
      <w:r w:rsidR="00C6589C">
        <w:rPr>
          <w:rFonts w:ascii="Times New Roman" w:hAnsi="Times New Roman" w:cs="Times New Roman"/>
          <w:sz w:val="24"/>
          <w:szCs w:val="24"/>
        </w:rPr>
        <w:t xml:space="preserve"> </w:t>
      </w:r>
      <w:r w:rsidR="00C6589C" w:rsidRPr="00C6589C">
        <w:rPr>
          <w:rFonts w:ascii="Times New Roman" w:hAnsi="Times New Roman" w:cs="Times New Roman"/>
          <w:sz w:val="24"/>
          <w:szCs w:val="24"/>
        </w:rPr>
        <w:t>is a non-issue, since a unified NTT is neither desirable nor even</w:t>
      </w:r>
      <w:r w:rsidR="00C6589C">
        <w:rPr>
          <w:rFonts w:ascii="Times New Roman" w:hAnsi="Times New Roman" w:cs="Times New Roman"/>
          <w:sz w:val="24"/>
          <w:szCs w:val="24"/>
        </w:rPr>
        <w:t xml:space="preserve"> </w:t>
      </w:r>
      <w:r w:rsidR="00C6589C" w:rsidRPr="00C6589C">
        <w:rPr>
          <w:rFonts w:ascii="Times New Roman" w:hAnsi="Times New Roman" w:cs="Times New Roman"/>
          <w:sz w:val="24"/>
          <w:szCs w:val="24"/>
        </w:rPr>
        <w:t>possible.</w:t>
      </w:r>
      <w:r w:rsidR="00C6589C">
        <w:rPr>
          <w:rFonts w:ascii="Times New Roman" w:hAnsi="Times New Roman" w:cs="Times New Roman"/>
          <w:sz w:val="24"/>
          <w:szCs w:val="24"/>
        </w:rPr>
        <w:t xml:space="preserve"> </w:t>
      </w:r>
      <w:r w:rsidR="00C6589C" w:rsidRPr="00C6589C">
        <w:rPr>
          <w:rFonts w:ascii="Times New Roman" w:hAnsi="Times New Roman" w:cs="Times New Roman"/>
          <w:sz w:val="24"/>
          <w:szCs w:val="24"/>
        </w:rPr>
        <w:t xml:space="preserve">Howard Marshall, </w:t>
      </w:r>
      <w:r w:rsidR="00C6589C">
        <w:rPr>
          <w:rFonts w:ascii="Times New Roman" w:hAnsi="Times New Roman" w:cs="Times New Roman"/>
          <w:sz w:val="24"/>
          <w:szCs w:val="24"/>
        </w:rPr>
        <w:t xml:space="preserve">in his book, </w:t>
      </w:r>
      <w:r w:rsidR="00C6589C" w:rsidRPr="00C6589C">
        <w:rPr>
          <w:rFonts w:ascii="Times New Roman" w:hAnsi="Times New Roman" w:cs="Times New Roman"/>
          <w:i/>
          <w:iCs/>
          <w:sz w:val="24"/>
          <w:szCs w:val="24"/>
        </w:rPr>
        <w:t>New Testament Theology: Many Witnesses, One Gospel</w:t>
      </w:r>
      <w:r w:rsidR="00C6589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C6589C" w:rsidRPr="00C6589C">
        <w:rPr>
          <w:rFonts w:ascii="Times New Roman" w:hAnsi="Times New Roman" w:cs="Times New Roman"/>
          <w:iCs/>
          <w:sz w:val="24"/>
          <w:szCs w:val="24"/>
        </w:rPr>
        <w:t>masterfully demonstrated the</w:t>
      </w:r>
      <w:r w:rsidR="00C6589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6589C" w:rsidRPr="00C6589C">
        <w:rPr>
          <w:rFonts w:ascii="Times New Roman" w:hAnsi="Times New Roman" w:cs="Times New Roman"/>
          <w:iCs/>
          <w:sz w:val="24"/>
          <w:szCs w:val="24"/>
        </w:rPr>
        <w:t>theological unity of the NT</w:t>
      </w:r>
      <w:r w:rsidR="00C6589C">
        <w:rPr>
          <w:rFonts w:ascii="Times New Roman" w:hAnsi="Times New Roman" w:cs="Times New Roman"/>
          <w:iCs/>
          <w:sz w:val="24"/>
          <w:szCs w:val="24"/>
        </w:rPr>
        <w:t xml:space="preserve">, which is </w:t>
      </w:r>
      <w:r w:rsidR="00C6589C" w:rsidRPr="00C6589C">
        <w:rPr>
          <w:rFonts w:ascii="Times New Roman" w:hAnsi="Times New Roman" w:cs="Times New Roman"/>
          <w:iCs/>
          <w:sz w:val="24"/>
          <w:szCs w:val="24"/>
        </w:rPr>
        <w:t>shown</w:t>
      </w:r>
      <w:r w:rsidR="00C6589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6589C" w:rsidRPr="00C6589C">
        <w:rPr>
          <w:rFonts w:ascii="Times New Roman" w:hAnsi="Times New Roman" w:cs="Times New Roman"/>
          <w:iCs/>
          <w:sz w:val="24"/>
          <w:szCs w:val="24"/>
        </w:rPr>
        <w:t>through the enumeration of broad theological themes common to</w:t>
      </w:r>
      <w:r w:rsidR="00C6589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6589C" w:rsidRPr="00C6589C">
        <w:rPr>
          <w:rFonts w:ascii="Times New Roman" w:hAnsi="Times New Roman" w:cs="Times New Roman"/>
          <w:iCs/>
          <w:sz w:val="24"/>
          <w:szCs w:val="24"/>
        </w:rPr>
        <w:t>all the NT documents.</w:t>
      </w:r>
      <w:r w:rsidR="009002E4">
        <w:rPr>
          <w:rFonts w:ascii="Times New Roman" w:hAnsi="Times New Roman" w:cs="Times New Roman"/>
          <w:iCs/>
          <w:sz w:val="24"/>
          <w:szCs w:val="24"/>
        </w:rPr>
        <w:t xml:space="preserve"> Frank </w:t>
      </w:r>
      <w:proofErr w:type="spellStart"/>
      <w:r w:rsidR="009002E4" w:rsidRPr="009002E4">
        <w:rPr>
          <w:rFonts w:ascii="Times New Roman" w:hAnsi="Times New Roman" w:cs="Times New Roman"/>
          <w:iCs/>
          <w:sz w:val="24"/>
          <w:szCs w:val="24"/>
        </w:rPr>
        <w:t>Thielman’s</w:t>
      </w:r>
      <w:proofErr w:type="spellEnd"/>
      <w:r w:rsidR="009002E4" w:rsidRPr="009002E4">
        <w:rPr>
          <w:rFonts w:ascii="Times New Roman" w:hAnsi="Times New Roman" w:cs="Times New Roman"/>
          <w:iCs/>
          <w:sz w:val="24"/>
          <w:szCs w:val="24"/>
        </w:rPr>
        <w:t xml:space="preserve"> primary concern is to allow each book of the NT to speak</w:t>
      </w:r>
      <w:r w:rsidR="009002E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002E4" w:rsidRPr="009002E4">
        <w:rPr>
          <w:rFonts w:ascii="Times New Roman" w:hAnsi="Times New Roman" w:cs="Times New Roman"/>
          <w:iCs/>
          <w:sz w:val="24"/>
          <w:szCs w:val="24"/>
        </w:rPr>
        <w:t>for itself, thereby highlighting its unique theological contributions.</w:t>
      </w:r>
      <w:r w:rsidR="009002E4">
        <w:rPr>
          <w:rFonts w:ascii="Times New Roman" w:hAnsi="Times New Roman" w:cs="Times New Roman"/>
          <w:iCs/>
          <w:sz w:val="24"/>
          <w:szCs w:val="24"/>
        </w:rPr>
        <w:t xml:space="preserve"> He defends</w:t>
      </w:r>
      <w:r w:rsidR="009002E4" w:rsidRPr="009002E4">
        <w:rPr>
          <w:rFonts w:ascii="Times New Roman" w:hAnsi="Times New Roman" w:cs="Times New Roman"/>
          <w:iCs/>
          <w:sz w:val="24"/>
          <w:szCs w:val="24"/>
        </w:rPr>
        <w:t xml:space="preserve"> the uniqueness of each</w:t>
      </w:r>
      <w:r w:rsidR="009002E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002E4" w:rsidRPr="009002E4">
        <w:rPr>
          <w:rFonts w:ascii="Times New Roman" w:hAnsi="Times New Roman" w:cs="Times New Roman"/>
          <w:iCs/>
          <w:sz w:val="24"/>
          <w:szCs w:val="24"/>
        </w:rPr>
        <w:t>of the NT documents while at the same time demonstrating a</w:t>
      </w:r>
      <w:r w:rsidR="009002E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002E4" w:rsidRPr="009002E4">
        <w:rPr>
          <w:rFonts w:ascii="Times New Roman" w:hAnsi="Times New Roman" w:cs="Times New Roman"/>
          <w:iCs/>
          <w:sz w:val="24"/>
          <w:szCs w:val="24"/>
        </w:rPr>
        <w:t>fundamental unity across the NT canon.</w:t>
      </w:r>
      <w:r w:rsidR="009002E4">
        <w:rPr>
          <w:rStyle w:val="FootnoteReference"/>
          <w:rFonts w:ascii="Times New Roman" w:hAnsi="Times New Roman" w:cs="Times New Roman"/>
          <w:iCs/>
          <w:sz w:val="24"/>
          <w:szCs w:val="24"/>
        </w:rPr>
        <w:footnoteReference w:id="2"/>
      </w:r>
      <w:r w:rsidR="009002E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002E4" w:rsidRPr="009002E4">
        <w:rPr>
          <w:rFonts w:ascii="Times New Roman" w:hAnsi="Times New Roman" w:cs="Times New Roman"/>
          <w:iCs/>
          <w:sz w:val="24"/>
          <w:szCs w:val="24"/>
        </w:rPr>
        <w:t>Rejecting a purely</w:t>
      </w:r>
      <w:r w:rsidR="009002E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002E4" w:rsidRPr="009002E4">
        <w:rPr>
          <w:rFonts w:ascii="Times New Roman" w:hAnsi="Times New Roman" w:cs="Times New Roman"/>
          <w:iCs/>
          <w:sz w:val="24"/>
          <w:szCs w:val="24"/>
        </w:rPr>
        <w:t xml:space="preserve">historical approach, </w:t>
      </w:r>
      <w:r w:rsidR="009002E4">
        <w:rPr>
          <w:rFonts w:ascii="Times New Roman" w:hAnsi="Times New Roman" w:cs="Times New Roman"/>
          <w:iCs/>
          <w:sz w:val="24"/>
          <w:szCs w:val="24"/>
        </w:rPr>
        <w:t xml:space="preserve">Frank J. Matera </w:t>
      </w:r>
      <w:r w:rsidR="009002E4" w:rsidRPr="009002E4">
        <w:rPr>
          <w:rFonts w:ascii="Times New Roman" w:hAnsi="Times New Roman" w:cs="Times New Roman"/>
          <w:iCs/>
          <w:sz w:val="24"/>
          <w:szCs w:val="24"/>
        </w:rPr>
        <w:t>argues that NTT should seek to provide a</w:t>
      </w:r>
      <w:r w:rsidR="009002E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002E4" w:rsidRPr="009002E4">
        <w:rPr>
          <w:rFonts w:ascii="Times New Roman" w:hAnsi="Times New Roman" w:cs="Times New Roman"/>
          <w:iCs/>
          <w:sz w:val="24"/>
          <w:szCs w:val="24"/>
        </w:rPr>
        <w:t>theological interpretation of the New Testament that integrates and</w:t>
      </w:r>
      <w:r w:rsidR="009002E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002E4" w:rsidRPr="009002E4">
        <w:rPr>
          <w:rFonts w:ascii="Times New Roman" w:hAnsi="Times New Roman" w:cs="Times New Roman"/>
          <w:iCs/>
          <w:sz w:val="24"/>
          <w:szCs w:val="24"/>
        </w:rPr>
        <w:t>relates the diverse theologies of the New Testament into a un</w:t>
      </w:r>
      <w:bookmarkStart w:id="0" w:name="_GoBack"/>
      <w:bookmarkEnd w:id="0"/>
      <w:r w:rsidR="009002E4" w:rsidRPr="009002E4">
        <w:rPr>
          <w:rFonts w:ascii="Times New Roman" w:hAnsi="Times New Roman" w:cs="Times New Roman"/>
          <w:iCs/>
          <w:sz w:val="24"/>
          <w:szCs w:val="24"/>
        </w:rPr>
        <w:t>ified</w:t>
      </w:r>
      <w:r w:rsidR="009002E4">
        <w:rPr>
          <w:rFonts w:ascii="Times New Roman" w:hAnsi="Times New Roman" w:cs="Times New Roman"/>
          <w:iCs/>
          <w:sz w:val="24"/>
          <w:szCs w:val="24"/>
        </w:rPr>
        <w:t xml:space="preserve"> whole without harmonizing them. For him, within this diversity of the NT there is a core of theological unity.</w:t>
      </w:r>
      <w:r w:rsidR="00C83750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3D34A9" w:rsidRDefault="00BC188E" w:rsidP="008455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B518F9">
        <w:rPr>
          <w:rFonts w:ascii="Times New Roman" w:hAnsi="Times New Roman" w:cs="Times New Roman"/>
          <w:sz w:val="24"/>
          <w:szCs w:val="24"/>
        </w:rPr>
        <w:t xml:space="preserve">Unlike the above scholars, </w:t>
      </w:r>
      <w:r w:rsidR="00B518F9" w:rsidRPr="00B518F9">
        <w:rPr>
          <w:rFonts w:ascii="Times New Roman" w:hAnsi="Times New Roman" w:cs="Times New Roman"/>
          <w:sz w:val="24"/>
          <w:szCs w:val="24"/>
        </w:rPr>
        <w:t>Thomas R. Schreiner,</w:t>
      </w:r>
      <w:r w:rsidR="00B518F9">
        <w:rPr>
          <w:rFonts w:ascii="Times New Roman" w:hAnsi="Times New Roman" w:cs="Times New Roman"/>
          <w:sz w:val="24"/>
          <w:szCs w:val="24"/>
        </w:rPr>
        <w:t xml:space="preserve"> argues that </w:t>
      </w:r>
      <w:r w:rsidR="00B518F9" w:rsidRPr="00B518F9">
        <w:rPr>
          <w:rFonts w:ascii="Times New Roman" w:hAnsi="Times New Roman" w:cs="Times New Roman"/>
          <w:sz w:val="24"/>
          <w:szCs w:val="24"/>
        </w:rPr>
        <w:t>a thema</w:t>
      </w:r>
      <w:r w:rsidR="00B518F9">
        <w:rPr>
          <w:rFonts w:ascii="Times New Roman" w:hAnsi="Times New Roman" w:cs="Times New Roman"/>
          <w:sz w:val="24"/>
          <w:szCs w:val="24"/>
        </w:rPr>
        <w:t xml:space="preserve">tic approach </w:t>
      </w:r>
      <w:r w:rsidR="00B518F9" w:rsidRPr="00B518F9">
        <w:rPr>
          <w:rFonts w:ascii="Times New Roman" w:hAnsi="Times New Roman" w:cs="Times New Roman"/>
          <w:sz w:val="24"/>
          <w:szCs w:val="24"/>
        </w:rPr>
        <w:t>will aid in</w:t>
      </w:r>
      <w:r w:rsidR="00B518F9">
        <w:rPr>
          <w:rFonts w:ascii="Times New Roman" w:hAnsi="Times New Roman" w:cs="Times New Roman"/>
          <w:sz w:val="24"/>
          <w:szCs w:val="24"/>
        </w:rPr>
        <w:t xml:space="preserve"> </w:t>
      </w:r>
      <w:r w:rsidR="00B518F9" w:rsidRPr="00B518F9">
        <w:rPr>
          <w:rFonts w:ascii="Times New Roman" w:hAnsi="Times New Roman" w:cs="Times New Roman"/>
          <w:sz w:val="24"/>
          <w:szCs w:val="24"/>
        </w:rPr>
        <w:t>understanding both the overall unity of the NT and the individual</w:t>
      </w:r>
      <w:r w:rsidR="00B518F9">
        <w:rPr>
          <w:rFonts w:ascii="Times New Roman" w:hAnsi="Times New Roman" w:cs="Times New Roman"/>
          <w:sz w:val="24"/>
          <w:szCs w:val="24"/>
        </w:rPr>
        <w:t xml:space="preserve"> </w:t>
      </w:r>
      <w:r w:rsidR="00B518F9" w:rsidRPr="00B518F9">
        <w:rPr>
          <w:rFonts w:ascii="Times New Roman" w:hAnsi="Times New Roman" w:cs="Times New Roman"/>
          <w:sz w:val="24"/>
          <w:szCs w:val="24"/>
        </w:rPr>
        <w:t>contributions of its authors.</w:t>
      </w:r>
      <w:r w:rsidR="00B518F9">
        <w:rPr>
          <w:rFonts w:ascii="Times New Roman" w:hAnsi="Times New Roman" w:cs="Times New Roman"/>
          <w:sz w:val="24"/>
          <w:szCs w:val="24"/>
        </w:rPr>
        <w:t xml:space="preserve"> </w:t>
      </w:r>
      <w:r w:rsidR="00B518F9" w:rsidRPr="00B518F9">
        <w:rPr>
          <w:rFonts w:ascii="Times New Roman" w:hAnsi="Times New Roman" w:cs="Times New Roman"/>
          <w:sz w:val="24"/>
          <w:szCs w:val="24"/>
        </w:rPr>
        <w:t>Thus, he sees unity not only</w:t>
      </w:r>
      <w:r w:rsidR="00B518F9">
        <w:rPr>
          <w:rFonts w:ascii="Times New Roman" w:hAnsi="Times New Roman" w:cs="Times New Roman"/>
          <w:sz w:val="24"/>
          <w:szCs w:val="24"/>
        </w:rPr>
        <w:t xml:space="preserve"> </w:t>
      </w:r>
      <w:r w:rsidR="00B518F9" w:rsidRPr="00B518F9">
        <w:rPr>
          <w:rFonts w:ascii="Times New Roman" w:hAnsi="Times New Roman" w:cs="Times New Roman"/>
          <w:sz w:val="24"/>
          <w:szCs w:val="24"/>
        </w:rPr>
        <w:t>within the NT but also binding together the entire Christian canon.</w:t>
      </w:r>
      <w:r w:rsidR="00B518F9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="00B518F9" w:rsidRPr="00B518F9">
        <w:rPr>
          <w:rFonts w:ascii="Times New Roman" w:hAnsi="Times New Roman" w:cs="Times New Roman"/>
          <w:sz w:val="24"/>
          <w:szCs w:val="24"/>
        </w:rPr>
        <w:t>Udo</w:t>
      </w:r>
      <w:proofErr w:type="spellEnd"/>
      <w:r w:rsidR="00B518F9" w:rsidRPr="00B51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8F9" w:rsidRPr="00B518F9">
        <w:rPr>
          <w:rFonts w:ascii="Times New Roman" w:hAnsi="Times New Roman" w:cs="Times New Roman"/>
          <w:sz w:val="24"/>
          <w:szCs w:val="24"/>
        </w:rPr>
        <w:t>Schnelle</w:t>
      </w:r>
      <w:proofErr w:type="spellEnd"/>
      <w:r w:rsidR="00B518F9" w:rsidRPr="00B518F9">
        <w:rPr>
          <w:rFonts w:ascii="Times New Roman" w:hAnsi="Times New Roman" w:cs="Times New Roman"/>
          <w:sz w:val="24"/>
          <w:szCs w:val="24"/>
        </w:rPr>
        <w:t>,</w:t>
      </w:r>
      <w:r w:rsidR="00B518F9">
        <w:rPr>
          <w:rFonts w:ascii="Times New Roman" w:hAnsi="Times New Roman" w:cs="Times New Roman"/>
          <w:sz w:val="24"/>
          <w:szCs w:val="24"/>
        </w:rPr>
        <w:t xml:space="preserve"> </w:t>
      </w:r>
      <w:r w:rsidR="00B518F9" w:rsidRPr="00B518F9">
        <w:rPr>
          <w:rFonts w:ascii="Times New Roman" w:hAnsi="Times New Roman" w:cs="Times New Roman"/>
          <w:sz w:val="24"/>
          <w:szCs w:val="24"/>
        </w:rPr>
        <w:t>the truth of</w:t>
      </w:r>
      <w:r w:rsidR="00B518F9">
        <w:rPr>
          <w:rFonts w:ascii="Times New Roman" w:hAnsi="Times New Roman" w:cs="Times New Roman"/>
          <w:sz w:val="24"/>
          <w:szCs w:val="24"/>
        </w:rPr>
        <w:t xml:space="preserve"> </w:t>
      </w:r>
      <w:r w:rsidR="00B518F9" w:rsidRPr="00B518F9">
        <w:rPr>
          <w:rFonts w:ascii="Times New Roman" w:hAnsi="Times New Roman" w:cs="Times New Roman"/>
          <w:sz w:val="24"/>
          <w:szCs w:val="24"/>
        </w:rPr>
        <w:t>the NT writings must be a</w:t>
      </w:r>
      <w:r w:rsidR="00B518F9">
        <w:rPr>
          <w:rFonts w:ascii="Times New Roman" w:hAnsi="Times New Roman" w:cs="Times New Roman"/>
          <w:sz w:val="24"/>
          <w:szCs w:val="24"/>
        </w:rPr>
        <w:t>ppropriated in the modern world. His structure is unique in t</w:t>
      </w:r>
      <w:r w:rsidR="00B518F9" w:rsidRPr="00B518F9">
        <w:rPr>
          <w:rFonts w:ascii="Times New Roman" w:hAnsi="Times New Roman" w:cs="Times New Roman"/>
          <w:sz w:val="24"/>
          <w:szCs w:val="24"/>
        </w:rPr>
        <w:t>hat it deals with</w:t>
      </w:r>
      <w:r w:rsidR="00B518F9">
        <w:rPr>
          <w:rFonts w:ascii="Times New Roman" w:hAnsi="Times New Roman" w:cs="Times New Roman"/>
          <w:sz w:val="24"/>
          <w:szCs w:val="24"/>
        </w:rPr>
        <w:t xml:space="preserve"> </w:t>
      </w:r>
      <w:r w:rsidR="00B518F9" w:rsidRPr="00B518F9">
        <w:rPr>
          <w:rFonts w:ascii="Times New Roman" w:hAnsi="Times New Roman" w:cs="Times New Roman"/>
          <w:sz w:val="24"/>
          <w:szCs w:val="24"/>
        </w:rPr>
        <w:t>historical, thematic, and theological concerns in the context of a</w:t>
      </w:r>
      <w:r w:rsidR="00B518F9">
        <w:rPr>
          <w:rFonts w:ascii="Times New Roman" w:hAnsi="Times New Roman" w:cs="Times New Roman"/>
          <w:sz w:val="24"/>
          <w:szCs w:val="24"/>
        </w:rPr>
        <w:t xml:space="preserve"> </w:t>
      </w:r>
      <w:r w:rsidR="00B518F9" w:rsidRPr="00B518F9">
        <w:rPr>
          <w:rFonts w:ascii="Times New Roman" w:hAnsi="Times New Roman" w:cs="Times New Roman"/>
          <w:sz w:val="24"/>
          <w:szCs w:val="24"/>
        </w:rPr>
        <w:t>modified book-by-book analysis</w:t>
      </w:r>
      <w:r w:rsidR="00B518F9">
        <w:rPr>
          <w:rFonts w:ascii="Times New Roman" w:hAnsi="Times New Roman" w:cs="Times New Roman"/>
          <w:sz w:val="24"/>
          <w:szCs w:val="24"/>
        </w:rPr>
        <w:t xml:space="preserve">. For </w:t>
      </w:r>
      <w:r w:rsidR="00B518F9" w:rsidRPr="00B518F9">
        <w:rPr>
          <w:rFonts w:ascii="Times New Roman" w:hAnsi="Times New Roman" w:cs="Times New Roman"/>
          <w:sz w:val="24"/>
          <w:szCs w:val="24"/>
        </w:rPr>
        <w:t>G. K. Beale</w:t>
      </w:r>
      <w:r w:rsidR="00B518F9">
        <w:rPr>
          <w:rFonts w:ascii="Times New Roman" w:hAnsi="Times New Roman" w:cs="Times New Roman"/>
          <w:sz w:val="24"/>
          <w:szCs w:val="24"/>
        </w:rPr>
        <w:t xml:space="preserve">, </w:t>
      </w:r>
      <w:r w:rsidR="00B518F9" w:rsidRPr="00B518F9">
        <w:rPr>
          <w:rFonts w:ascii="Times New Roman" w:hAnsi="Times New Roman" w:cs="Times New Roman"/>
          <w:sz w:val="24"/>
          <w:szCs w:val="24"/>
        </w:rPr>
        <w:t>the theological unity of the Bible is to be</w:t>
      </w:r>
      <w:r w:rsidR="00B518F9">
        <w:rPr>
          <w:rFonts w:ascii="Times New Roman" w:hAnsi="Times New Roman" w:cs="Times New Roman"/>
          <w:sz w:val="24"/>
          <w:szCs w:val="24"/>
        </w:rPr>
        <w:t xml:space="preserve"> </w:t>
      </w:r>
      <w:r w:rsidR="00B518F9" w:rsidRPr="00B518F9">
        <w:rPr>
          <w:rFonts w:ascii="Times New Roman" w:hAnsi="Times New Roman" w:cs="Times New Roman"/>
          <w:sz w:val="24"/>
          <w:szCs w:val="24"/>
        </w:rPr>
        <w:t>found in its storyline.</w:t>
      </w:r>
      <w:r w:rsidR="00B518F9">
        <w:rPr>
          <w:rFonts w:ascii="Times New Roman" w:hAnsi="Times New Roman" w:cs="Times New Roman"/>
          <w:sz w:val="24"/>
          <w:szCs w:val="24"/>
        </w:rPr>
        <w:t xml:space="preserve"> </w:t>
      </w:r>
      <w:r w:rsidR="008455A3" w:rsidRPr="00B518F9">
        <w:rPr>
          <w:rFonts w:ascii="Times New Roman" w:hAnsi="Times New Roman" w:cs="Times New Roman"/>
          <w:sz w:val="24"/>
          <w:szCs w:val="24"/>
        </w:rPr>
        <w:t xml:space="preserve">His </w:t>
      </w:r>
      <w:r w:rsidR="00B518F9" w:rsidRPr="00B518F9">
        <w:rPr>
          <w:rFonts w:ascii="Times New Roman" w:hAnsi="Times New Roman" w:cs="Times New Roman"/>
          <w:sz w:val="24"/>
          <w:szCs w:val="24"/>
        </w:rPr>
        <w:t>approach is to identify</w:t>
      </w:r>
      <w:r w:rsidR="008455A3">
        <w:rPr>
          <w:rFonts w:ascii="Times New Roman" w:hAnsi="Times New Roman" w:cs="Times New Roman"/>
          <w:sz w:val="24"/>
          <w:szCs w:val="24"/>
        </w:rPr>
        <w:t xml:space="preserve"> </w:t>
      </w:r>
      <w:r w:rsidR="00B518F9" w:rsidRPr="00B518F9">
        <w:rPr>
          <w:rFonts w:ascii="Times New Roman" w:hAnsi="Times New Roman" w:cs="Times New Roman"/>
          <w:sz w:val="24"/>
          <w:szCs w:val="24"/>
        </w:rPr>
        <w:t xml:space="preserve">the fundamental storylines of the </w:t>
      </w:r>
      <w:r w:rsidR="008455A3">
        <w:rPr>
          <w:rFonts w:ascii="Times New Roman" w:hAnsi="Times New Roman" w:cs="Times New Roman"/>
          <w:sz w:val="24"/>
          <w:szCs w:val="24"/>
        </w:rPr>
        <w:t>Old Testament (</w:t>
      </w:r>
      <w:r w:rsidR="00B518F9" w:rsidRPr="00B518F9">
        <w:rPr>
          <w:rFonts w:ascii="Times New Roman" w:hAnsi="Times New Roman" w:cs="Times New Roman"/>
          <w:sz w:val="24"/>
          <w:szCs w:val="24"/>
        </w:rPr>
        <w:t>OT</w:t>
      </w:r>
      <w:r w:rsidR="008455A3">
        <w:rPr>
          <w:rFonts w:ascii="Times New Roman" w:hAnsi="Times New Roman" w:cs="Times New Roman"/>
          <w:sz w:val="24"/>
          <w:szCs w:val="24"/>
        </w:rPr>
        <w:t>)</w:t>
      </w:r>
      <w:r w:rsidR="00B518F9" w:rsidRPr="00B518F9">
        <w:rPr>
          <w:rFonts w:ascii="Times New Roman" w:hAnsi="Times New Roman" w:cs="Times New Roman"/>
          <w:sz w:val="24"/>
          <w:szCs w:val="24"/>
        </w:rPr>
        <w:t xml:space="preserve"> and the NT and then to show</w:t>
      </w:r>
      <w:r w:rsidR="008455A3">
        <w:rPr>
          <w:rFonts w:ascii="Times New Roman" w:hAnsi="Times New Roman" w:cs="Times New Roman"/>
          <w:sz w:val="24"/>
          <w:szCs w:val="24"/>
        </w:rPr>
        <w:t xml:space="preserve"> </w:t>
      </w:r>
      <w:r w:rsidR="00B518F9" w:rsidRPr="00B518F9">
        <w:rPr>
          <w:rFonts w:ascii="Times New Roman" w:hAnsi="Times New Roman" w:cs="Times New Roman"/>
          <w:sz w:val="24"/>
          <w:szCs w:val="24"/>
        </w:rPr>
        <w:t>how that of the NT is founded upon, flows out of, and transforms</w:t>
      </w:r>
      <w:r w:rsidR="008455A3">
        <w:rPr>
          <w:rFonts w:ascii="Times New Roman" w:hAnsi="Times New Roman" w:cs="Times New Roman"/>
          <w:sz w:val="24"/>
          <w:szCs w:val="24"/>
        </w:rPr>
        <w:t xml:space="preserve"> </w:t>
      </w:r>
      <w:r w:rsidR="00B518F9" w:rsidRPr="00B518F9">
        <w:rPr>
          <w:rFonts w:ascii="Times New Roman" w:hAnsi="Times New Roman" w:cs="Times New Roman"/>
          <w:sz w:val="24"/>
          <w:szCs w:val="24"/>
        </w:rPr>
        <w:t>that of the OT.</w:t>
      </w:r>
      <w:r w:rsidR="008455A3">
        <w:rPr>
          <w:rFonts w:ascii="Times New Roman" w:hAnsi="Times New Roman" w:cs="Times New Roman"/>
          <w:sz w:val="24"/>
          <w:szCs w:val="24"/>
        </w:rPr>
        <w:t xml:space="preserve"> </w:t>
      </w:r>
      <w:r w:rsidR="008455A3" w:rsidRPr="008455A3">
        <w:rPr>
          <w:rFonts w:ascii="Times New Roman" w:hAnsi="Times New Roman" w:cs="Times New Roman"/>
          <w:sz w:val="24"/>
          <w:szCs w:val="24"/>
        </w:rPr>
        <w:t>This rightly emphasizes the Bible’s</w:t>
      </w:r>
      <w:r w:rsidR="008455A3">
        <w:rPr>
          <w:rFonts w:ascii="Times New Roman" w:hAnsi="Times New Roman" w:cs="Times New Roman"/>
          <w:sz w:val="24"/>
          <w:szCs w:val="24"/>
        </w:rPr>
        <w:t xml:space="preserve"> </w:t>
      </w:r>
      <w:r w:rsidR="008455A3" w:rsidRPr="008455A3">
        <w:rPr>
          <w:rFonts w:ascii="Times New Roman" w:hAnsi="Times New Roman" w:cs="Times New Roman"/>
          <w:sz w:val="24"/>
          <w:szCs w:val="24"/>
        </w:rPr>
        <w:t>narrative nature, demonstrating the unity of the NT—and, indeed,</w:t>
      </w:r>
      <w:r w:rsidR="008455A3">
        <w:rPr>
          <w:rFonts w:ascii="Times New Roman" w:hAnsi="Times New Roman" w:cs="Times New Roman"/>
          <w:sz w:val="24"/>
          <w:szCs w:val="24"/>
        </w:rPr>
        <w:t xml:space="preserve"> </w:t>
      </w:r>
      <w:r w:rsidR="008455A3" w:rsidRPr="008455A3">
        <w:rPr>
          <w:rFonts w:ascii="Times New Roman" w:hAnsi="Times New Roman" w:cs="Times New Roman"/>
          <w:sz w:val="24"/>
          <w:szCs w:val="24"/>
        </w:rPr>
        <w:t>of the whole Bible</w:t>
      </w:r>
      <w:r w:rsidR="008455A3">
        <w:rPr>
          <w:rFonts w:ascii="Times New Roman" w:hAnsi="Times New Roman" w:cs="Times New Roman"/>
          <w:sz w:val="24"/>
          <w:szCs w:val="24"/>
        </w:rPr>
        <w:t>.</w:t>
      </w:r>
    </w:p>
    <w:p w:rsidR="008455A3" w:rsidRDefault="008455A3" w:rsidP="008455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Conclusion</w:t>
      </w:r>
    </w:p>
    <w:p w:rsidR="00C25EB1" w:rsidRDefault="00C60499" w:rsidP="00C25EB1">
      <w:pPr>
        <w:spacing w:after="0" w:line="360" w:lineRule="auto"/>
        <w:jc w:val="both"/>
        <w:rPr>
          <w:rFonts w:ascii="Bodoni-Regular" w:hAnsi="Bodoni-Regular" w:cs="Bodoni-Regular"/>
          <w:sz w:val="24"/>
          <w:szCs w:val="24"/>
        </w:rPr>
      </w:pPr>
      <w:r>
        <w:rPr>
          <w:rFonts w:ascii="Bodoni-Regular" w:hAnsi="Bodoni-Regular" w:cs="Bodoni-Regular"/>
          <w:sz w:val="24"/>
          <w:szCs w:val="24"/>
        </w:rPr>
        <w:t xml:space="preserve">Having surveyed several recent </w:t>
      </w:r>
      <w:r>
        <w:rPr>
          <w:rFonts w:ascii="Bodoni-Regular" w:hAnsi="Bodoni-Regular" w:cs="Bodoni-Regular"/>
        </w:rPr>
        <w:t>NTT</w:t>
      </w:r>
      <w:r>
        <w:rPr>
          <w:rFonts w:ascii="Bodoni-Regular" w:hAnsi="Bodoni-Regular" w:cs="Bodoni-Regular"/>
          <w:sz w:val="24"/>
          <w:szCs w:val="24"/>
        </w:rPr>
        <w:t xml:space="preserve">s, </w:t>
      </w:r>
      <w:proofErr w:type="spellStart"/>
      <w:r>
        <w:rPr>
          <w:rFonts w:ascii="Bodoni-Regular" w:hAnsi="Bodoni-Regular" w:cs="Bodoni-Regular"/>
          <w:sz w:val="24"/>
          <w:szCs w:val="24"/>
        </w:rPr>
        <w:t>Wendel</w:t>
      </w:r>
      <w:proofErr w:type="spellEnd"/>
      <w:r>
        <w:rPr>
          <w:rFonts w:ascii="Bodoni-Regular" w:hAnsi="Bodoni-Regular" w:cs="Bodoni-Regular"/>
          <w:sz w:val="24"/>
          <w:szCs w:val="24"/>
        </w:rPr>
        <w:t xml:space="preserve"> Sun</w:t>
      </w:r>
      <w:r>
        <w:rPr>
          <w:rFonts w:ascii="Bodoni-Regular" w:hAnsi="Bodoni-Regular" w:cs="Bodoni-Regular"/>
          <w:sz w:val="24"/>
          <w:szCs w:val="24"/>
        </w:rPr>
        <w:t xml:space="preserve"> conclude</w:t>
      </w:r>
      <w:r>
        <w:rPr>
          <w:rFonts w:ascii="Bodoni-Regular" w:hAnsi="Bodoni-Regular" w:cs="Bodoni-Regular"/>
          <w:sz w:val="24"/>
          <w:szCs w:val="24"/>
        </w:rPr>
        <w:t>s</w:t>
      </w:r>
      <w:r>
        <w:rPr>
          <w:rFonts w:ascii="Bodoni-Regular" w:hAnsi="Bodoni-Regular" w:cs="Bodoni-Regular"/>
          <w:sz w:val="24"/>
          <w:szCs w:val="24"/>
        </w:rPr>
        <w:t xml:space="preserve"> with </w:t>
      </w:r>
      <w:r>
        <w:rPr>
          <w:rFonts w:ascii="Bodoni-Regular" w:hAnsi="Bodoni-Regular" w:cs="Bodoni-Regular"/>
          <w:sz w:val="24"/>
          <w:szCs w:val="24"/>
        </w:rPr>
        <w:t xml:space="preserve">the following </w:t>
      </w:r>
      <w:r>
        <w:rPr>
          <w:rFonts w:ascii="Bodoni-Regular" w:hAnsi="Bodoni-Regular" w:cs="Bodoni-Regular"/>
          <w:sz w:val="24"/>
          <w:szCs w:val="24"/>
        </w:rPr>
        <w:t>observations</w:t>
      </w:r>
      <w:r>
        <w:rPr>
          <w:rFonts w:ascii="Bodoni-Regular" w:hAnsi="Bodoni-Regular" w:cs="Bodoni-Regular"/>
          <w:sz w:val="24"/>
          <w:szCs w:val="24"/>
        </w:rPr>
        <w:t>. First, in approaching the study of NTT, o</w:t>
      </w:r>
      <w:r w:rsidRPr="00C60499">
        <w:rPr>
          <w:rFonts w:ascii="Bodoni-Regular" w:hAnsi="Bodoni-Regular" w:cs="Bodoni-Regular"/>
          <w:sz w:val="24"/>
          <w:szCs w:val="24"/>
        </w:rPr>
        <w:t>ne must walk the line, upholding both</w:t>
      </w:r>
      <w:r>
        <w:rPr>
          <w:rFonts w:ascii="Bodoni-Regular" w:hAnsi="Bodoni-Regular" w:cs="Bodoni-Regular"/>
          <w:sz w:val="24"/>
          <w:szCs w:val="24"/>
        </w:rPr>
        <w:t xml:space="preserve"> </w:t>
      </w:r>
      <w:r w:rsidRPr="00C60499">
        <w:rPr>
          <w:rFonts w:ascii="Bodoni-Regular" w:hAnsi="Bodoni-Regular" w:cs="Bodoni-Regular"/>
          <w:sz w:val="24"/>
          <w:szCs w:val="24"/>
        </w:rPr>
        <w:t>unity and diversity without overemphasizing one or the other.</w:t>
      </w:r>
      <w:r>
        <w:rPr>
          <w:rFonts w:ascii="Bodoni-Regular" w:hAnsi="Bodoni-Regular" w:cs="Bodoni-Regular"/>
          <w:sz w:val="24"/>
          <w:szCs w:val="24"/>
        </w:rPr>
        <w:t xml:space="preserve"> </w:t>
      </w:r>
      <w:r w:rsidRPr="00C60499">
        <w:rPr>
          <w:rFonts w:ascii="Bodoni-Regular" w:hAnsi="Bodoni-Regular" w:cs="Bodoni-Regular"/>
          <w:sz w:val="24"/>
          <w:szCs w:val="24"/>
        </w:rPr>
        <w:t xml:space="preserve">Future NTT research that ignores </w:t>
      </w:r>
      <w:r>
        <w:rPr>
          <w:rFonts w:ascii="Bodoni-Regular" w:hAnsi="Bodoni-Regular" w:cs="Bodoni-Regular"/>
          <w:sz w:val="24"/>
          <w:szCs w:val="24"/>
        </w:rPr>
        <w:t>any of these</w:t>
      </w:r>
      <w:r w:rsidRPr="00C60499">
        <w:rPr>
          <w:rFonts w:ascii="Bodoni-Regular" w:hAnsi="Bodoni-Regular" w:cs="Bodoni-Regular"/>
          <w:sz w:val="24"/>
          <w:szCs w:val="24"/>
        </w:rPr>
        <w:t xml:space="preserve"> will produce</w:t>
      </w:r>
      <w:r>
        <w:rPr>
          <w:rFonts w:ascii="Bodoni-Regular" w:hAnsi="Bodoni-Regular" w:cs="Bodoni-Regular"/>
          <w:sz w:val="24"/>
          <w:szCs w:val="24"/>
        </w:rPr>
        <w:t xml:space="preserve"> </w:t>
      </w:r>
      <w:r w:rsidRPr="00C60499">
        <w:rPr>
          <w:rFonts w:ascii="Bodoni-Regular" w:hAnsi="Bodoni-Regular" w:cs="Bodoni-Regular"/>
          <w:sz w:val="24"/>
          <w:szCs w:val="24"/>
        </w:rPr>
        <w:t>deficient results.</w:t>
      </w:r>
      <w:r>
        <w:rPr>
          <w:rFonts w:ascii="Bodoni-Regular" w:hAnsi="Bodoni-Regular" w:cs="Bodoni-Regular"/>
          <w:sz w:val="24"/>
          <w:szCs w:val="24"/>
        </w:rPr>
        <w:t xml:space="preserve"> Secondly, </w:t>
      </w:r>
      <w:r w:rsidR="00C25EB1" w:rsidRPr="00C25EB1">
        <w:rPr>
          <w:rFonts w:ascii="Bodoni-Regular" w:hAnsi="Bodoni-Regular" w:cs="Bodoni-Regular"/>
          <w:sz w:val="24"/>
          <w:szCs w:val="24"/>
        </w:rPr>
        <w:t xml:space="preserve">some of the </w:t>
      </w:r>
      <w:r w:rsidR="00C25EB1">
        <w:rPr>
          <w:rFonts w:ascii="Bodoni-Regular" w:hAnsi="Bodoni-Regular" w:cs="Bodoni-Regular"/>
          <w:sz w:val="24"/>
          <w:szCs w:val="24"/>
        </w:rPr>
        <w:t>NTTs</w:t>
      </w:r>
      <w:r w:rsidR="00C25EB1" w:rsidRPr="00C25EB1">
        <w:rPr>
          <w:rFonts w:ascii="Bodoni-Regular" w:hAnsi="Bodoni-Regular" w:cs="Bodoni-Regular"/>
          <w:sz w:val="24"/>
          <w:szCs w:val="24"/>
        </w:rPr>
        <w:t xml:space="preserve"> in this survey lack exegetical</w:t>
      </w:r>
      <w:r w:rsidR="00C25EB1">
        <w:rPr>
          <w:rFonts w:ascii="Bodoni-Regular" w:hAnsi="Bodoni-Regular" w:cs="Bodoni-Regular"/>
          <w:sz w:val="24"/>
          <w:szCs w:val="24"/>
        </w:rPr>
        <w:t xml:space="preserve"> </w:t>
      </w:r>
      <w:r w:rsidR="00C25EB1" w:rsidRPr="00C25EB1">
        <w:rPr>
          <w:rFonts w:ascii="Bodoni-Regular" w:hAnsi="Bodoni-Regular" w:cs="Bodoni-Regular"/>
          <w:sz w:val="24"/>
          <w:szCs w:val="24"/>
        </w:rPr>
        <w:t>engagement with the text of the NT</w:t>
      </w:r>
      <w:r w:rsidR="00C25EB1">
        <w:rPr>
          <w:rFonts w:ascii="Bodoni-Regular" w:hAnsi="Bodoni-Regular" w:cs="Bodoni-Regular"/>
          <w:sz w:val="24"/>
          <w:szCs w:val="24"/>
        </w:rPr>
        <w:t xml:space="preserve">. </w:t>
      </w:r>
      <w:r w:rsidR="00C25EB1" w:rsidRPr="00C25EB1">
        <w:rPr>
          <w:rFonts w:ascii="Bodoni-Regular" w:hAnsi="Bodoni-Regular" w:cs="Bodoni-Regular"/>
          <w:sz w:val="24"/>
          <w:szCs w:val="24"/>
        </w:rPr>
        <w:t>The problem is that doing</w:t>
      </w:r>
      <w:r w:rsidR="00C25EB1">
        <w:rPr>
          <w:rFonts w:ascii="Bodoni-Regular" w:hAnsi="Bodoni-Regular" w:cs="Bodoni-Regular"/>
          <w:sz w:val="24"/>
          <w:szCs w:val="24"/>
        </w:rPr>
        <w:t xml:space="preserve"> </w:t>
      </w:r>
      <w:r w:rsidR="00C25EB1" w:rsidRPr="00C25EB1">
        <w:rPr>
          <w:rFonts w:ascii="Bodoni-Regular" w:hAnsi="Bodoni-Regular" w:cs="Bodoni-Regular"/>
          <w:sz w:val="24"/>
          <w:szCs w:val="24"/>
        </w:rPr>
        <w:t>so necessitates the assumption of theological unity</w:t>
      </w:r>
      <w:r w:rsidR="00C25EB1">
        <w:rPr>
          <w:rFonts w:ascii="Bodoni-Regular" w:hAnsi="Bodoni-Regular" w:cs="Bodoni-Regular"/>
          <w:sz w:val="24"/>
          <w:szCs w:val="24"/>
        </w:rPr>
        <w:t xml:space="preserve">. Thus, in </w:t>
      </w:r>
      <w:r w:rsidR="00C25EB1" w:rsidRPr="00C25EB1">
        <w:rPr>
          <w:rFonts w:ascii="Bodoni-Regular" w:hAnsi="Bodoni-Regular" w:cs="Bodoni-Regular"/>
          <w:sz w:val="24"/>
          <w:szCs w:val="24"/>
        </w:rPr>
        <w:t>order for a work of NTT to be</w:t>
      </w:r>
      <w:r w:rsidR="00C25EB1">
        <w:rPr>
          <w:rFonts w:ascii="Bodoni-Regular" w:hAnsi="Bodoni-Regular" w:cs="Bodoni-Regular"/>
          <w:sz w:val="24"/>
          <w:szCs w:val="24"/>
        </w:rPr>
        <w:t xml:space="preserve"> </w:t>
      </w:r>
      <w:r w:rsidR="00C25EB1" w:rsidRPr="00C25EB1">
        <w:rPr>
          <w:rFonts w:ascii="Bodoni-Regular" w:hAnsi="Bodoni-Regular" w:cs="Bodoni-Regular"/>
          <w:sz w:val="24"/>
          <w:szCs w:val="24"/>
        </w:rPr>
        <w:t>taken seriously, the exegetical support for its theological conclusions</w:t>
      </w:r>
      <w:r w:rsidR="00C25EB1">
        <w:rPr>
          <w:rFonts w:ascii="Bodoni-Regular" w:hAnsi="Bodoni-Regular" w:cs="Bodoni-Regular"/>
          <w:sz w:val="24"/>
          <w:szCs w:val="24"/>
        </w:rPr>
        <w:t xml:space="preserve"> </w:t>
      </w:r>
      <w:r w:rsidR="00C25EB1" w:rsidRPr="00C25EB1">
        <w:rPr>
          <w:rFonts w:ascii="Bodoni-Regular" w:hAnsi="Bodoni-Regular" w:cs="Bodoni-Regular"/>
          <w:sz w:val="24"/>
          <w:szCs w:val="24"/>
        </w:rPr>
        <w:t>must be demonstrated.</w:t>
      </w:r>
      <w:r w:rsidR="00C25EB1">
        <w:rPr>
          <w:rFonts w:ascii="Bodoni-Regular" w:hAnsi="Bodoni-Regular" w:cs="Bodoni-Regular"/>
          <w:sz w:val="24"/>
          <w:szCs w:val="24"/>
        </w:rPr>
        <w:t xml:space="preserve"> </w:t>
      </w:r>
      <w:r w:rsidR="00C25EB1">
        <w:rPr>
          <w:rFonts w:ascii="Bodoni-Regular" w:hAnsi="Bodoni-Regular" w:cs="Bodoni-Regular"/>
          <w:sz w:val="24"/>
          <w:szCs w:val="24"/>
        </w:rPr>
        <w:tab/>
      </w:r>
    </w:p>
    <w:p w:rsidR="00C25EB1" w:rsidRPr="00C25EB1" w:rsidRDefault="00C25EB1" w:rsidP="00C25EB1">
      <w:pPr>
        <w:spacing w:after="0" w:line="360" w:lineRule="auto"/>
        <w:ind w:firstLine="720"/>
        <w:jc w:val="both"/>
        <w:rPr>
          <w:rFonts w:ascii="Bodoni-Regular" w:hAnsi="Bodoni-Regular" w:cs="Bodoni-Regular"/>
          <w:sz w:val="24"/>
          <w:szCs w:val="24"/>
        </w:rPr>
      </w:pPr>
      <w:r>
        <w:rPr>
          <w:rFonts w:ascii="Bodoni-Regular" w:hAnsi="Bodoni-Regular" w:cs="Bodoni-Regular"/>
          <w:sz w:val="24"/>
          <w:szCs w:val="24"/>
        </w:rPr>
        <w:t xml:space="preserve">Furthermore, </w:t>
      </w:r>
      <w:r w:rsidRPr="00C25EB1">
        <w:rPr>
          <w:rFonts w:ascii="Bodoni-Regular" w:hAnsi="Bodoni-Regular" w:cs="Bodoni-Regular"/>
          <w:sz w:val="24"/>
          <w:szCs w:val="24"/>
        </w:rPr>
        <w:t>seeking to understand the theology of the NT without regard to</w:t>
      </w:r>
      <w:r>
        <w:rPr>
          <w:rFonts w:ascii="Bodoni-Regular" w:hAnsi="Bodoni-Regular" w:cs="Bodoni-Regular"/>
          <w:sz w:val="24"/>
          <w:szCs w:val="24"/>
        </w:rPr>
        <w:t xml:space="preserve"> both its historical and canonical contexts </w:t>
      </w:r>
      <w:r w:rsidRPr="00C25EB1">
        <w:rPr>
          <w:rFonts w:ascii="Bodoni-Regular" w:hAnsi="Bodoni-Regular" w:cs="Bodoni-Regular"/>
          <w:sz w:val="24"/>
          <w:szCs w:val="24"/>
        </w:rPr>
        <w:t xml:space="preserve">has often resulted in skewed results. </w:t>
      </w:r>
      <w:r>
        <w:rPr>
          <w:rFonts w:ascii="Bodoni-Regular" w:hAnsi="Bodoni-Regular" w:cs="Bodoni-Regular"/>
          <w:sz w:val="24"/>
          <w:szCs w:val="24"/>
        </w:rPr>
        <w:t xml:space="preserve">Hence, </w:t>
      </w:r>
      <w:r w:rsidRPr="00C25EB1">
        <w:rPr>
          <w:rFonts w:ascii="Bodoni-Regular" w:hAnsi="Bodoni-Regular" w:cs="Bodoni-Regular"/>
          <w:sz w:val="24"/>
          <w:szCs w:val="24"/>
        </w:rPr>
        <w:t>future NTTs must take</w:t>
      </w:r>
      <w:r>
        <w:rPr>
          <w:rFonts w:ascii="Bodoni-Regular" w:hAnsi="Bodoni-Regular" w:cs="Bodoni-Regular"/>
          <w:sz w:val="24"/>
          <w:szCs w:val="24"/>
        </w:rPr>
        <w:t xml:space="preserve"> </w:t>
      </w:r>
      <w:r w:rsidRPr="00C25EB1">
        <w:rPr>
          <w:rFonts w:ascii="Bodoni-Regular" w:hAnsi="Bodoni-Regular" w:cs="Bodoni-Regular"/>
          <w:sz w:val="24"/>
          <w:szCs w:val="24"/>
        </w:rPr>
        <w:t>that into consideration.</w:t>
      </w:r>
      <w:r>
        <w:rPr>
          <w:rFonts w:ascii="Bodoni-Regular" w:hAnsi="Bodoni-Regular" w:cs="Bodoni-Regular"/>
          <w:sz w:val="24"/>
          <w:szCs w:val="24"/>
        </w:rPr>
        <w:t xml:space="preserve"> In addition, </w:t>
      </w:r>
      <w:r w:rsidRPr="00C25EB1">
        <w:rPr>
          <w:rFonts w:ascii="Bodoni-Regular" w:hAnsi="Bodoni-Regular" w:cs="Bodoni-Regular"/>
          <w:sz w:val="24"/>
          <w:szCs w:val="24"/>
        </w:rPr>
        <w:t xml:space="preserve">Future NTTs should build on </w:t>
      </w:r>
      <w:r>
        <w:rPr>
          <w:rFonts w:ascii="Bodoni-Regular" w:hAnsi="Bodoni-Regular" w:cs="Bodoni-Regular"/>
          <w:sz w:val="24"/>
          <w:szCs w:val="24"/>
        </w:rPr>
        <w:t>NT storyline</w:t>
      </w:r>
      <w:r w:rsidRPr="00C25EB1">
        <w:rPr>
          <w:rFonts w:ascii="Bodoni-Regular" w:hAnsi="Bodoni-Regular" w:cs="Bodoni-Regular"/>
          <w:sz w:val="24"/>
          <w:szCs w:val="24"/>
        </w:rPr>
        <w:t xml:space="preserve"> to locate the</w:t>
      </w:r>
    </w:p>
    <w:p w:rsidR="008455A3" w:rsidRPr="008455A3" w:rsidRDefault="00C25EB1" w:rsidP="00C25EB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C25EB1">
        <w:rPr>
          <w:rFonts w:ascii="Bodoni-Regular" w:hAnsi="Bodoni-Regular" w:cs="Bodoni-Regular"/>
          <w:sz w:val="24"/>
          <w:szCs w:val="24"/>
        </w:rPr>
        <w:t>basic</w:t>
      </w:r>
      <w:proofErr w:type="gramEnd"/>
      <w:r w:rsidRPr="00C25EB1">
        <w:rPr>
          <w:rFonts w:ascii="Bodoni-Regular" w:hAnsi="Bodoni-Regular" w:cs="Bodoni-Regular"/>
          <w:sz w:val="24"/>
          <w:szCs w:val="24"/>
        </w:rPr>
        <w:t xml:space="preserve"> theological unity of the NT within its narrative structure. This</w:t>
      </w:r>
      <w:r>
        <w:rPr>
          <w:rFonts w:ascii="Bodoni-Regular" w:hAnsi="Bodoni-Regular" w:cs="Bodoni-Regular"/>
          <w:sz w:val="24"/>
          <w:szCs w:val="24"/>
        </w:rPr>
        <w:t xml:space="preserve"> </w:t>
      </w:r>
      <w:r w:rsidRPr="00C25EB1">
        <w:rPr>
          <w:rFonts w:ascii="Bodoni-Regular" w:hAnsi="Bodoni-Regular" w:cs="Bodoni-Regular"/>
          <w:sz w:val="24"/>
          <w:szCs w:val="24"/>
        </w:rPr>
        <w:t>would also pave the way for further work in whole-Bible biblical</w:t>
      </w:r>
      <w:r>
        <w:rPr>
          <w:rFonts w:ascii="Bodoni-Regular" w:hAnsi="Bodoni-Regular" w:cs="Bodoni-Regular"/>
          <w:sz w:val="24"/>
          <w:szCs w:val="24"/>
        </w:rPr>
        <w:t xml:space="preserve"> </w:t>
      </w:r>
      <w:r w:rsidRPr="00C25EB1">
        <w:rPr>
          <w:rFonts w:ascii="Bodoni-Regular" w:hAnsi="Bodoni-Regular" w:cs="Bodoni-Regular"/>
          <w:sz w:val="24"/>
          <w:szCs w:val="24"/>
        </w:rPr>
        <w:t>theology.</w:t>
      </w:r>
      <w:r>
        <w:rPr>
          <w:rFonts w:ascii="Bodoni-Regular" w:hAnsi="Bodoni-Regular" w:cs="Bodoni-Regular"/>
          <w:sz w:val="24"/>
          <w:szCs w:val="24"/>
        </w:rPr>
        <w:t xml:space="preserve"> Finally, </w:t>
      </w:r>
      <w:proofErr w:type="gramStart"/>
      <w:r>
        <w:rPr>
          <w:rFonts w:ascii="Bodoni-Regular" w:hAnsi="Bodoni-Regular" w:cs="Bodoni-Regular"/>
          <w:sz w:val="24"/>
          <w:szCs w:val="24"/>
        </w:rPr>
        <w:t xml:space="preserve">future </w:t>
      </w:r>
      <w:r w:rsidRPr="00C25EB1">
        <w:rPr>
          <w:rFonts w:ascii="Bodoni-Regular" w:hAnsi="Bodoni-Regular" w:cs="Bodoni-Regular"/>
          <w:sz w:val="24"/>
          <w:szCs w:val="24"/>
        </w:rPr>
        <w:t>NTTs need</w:t>
      </w:r>
      <w:proofErr w:type="gramEnd"/>
      <w:r w:rsidRPr="00C25EB1">
        <w:rPr>
          <w:rFonts w:ascii="Bodoni-Regular" w:hAnsi="Bodoni-Regular" w:cs="Bodoni-Regular"/>
          <w:sz w:val="24"/>
          <w:szCs w:val="24"/>
        </w:rPr>
        <w:t xml:space="preserve"> to be able to demonstrate the</w:t>
      </w:r>
      <w:r>
        <w:rPr>
          <w:rFonts w:ascii="Bodoni-Regular" w:hAnsi="Bodoni-Regular" w:cs="Bodoni-Regular"/>
          <w:sz w:val="24"/>
          <w:szCs w:val="24"/>
        </w:rPr>
        <w:t xml:space="preserve"> </w:t>
      </w:r>
      <w:r w:rsidRPr="00C25EB1">
        <w:rPr>
          <w:rFonts w:ascii="Bodoni-Regular" w:hAnsi="Bodoni-Regular" w:cs="Bodoni-Regular"/>
          <w:sz w:val="24"/>
          <w:szCs w:val="24"/>
        </w:rPr>
        <w:t>unity of the NT through accurate exegetical work that does not</w:t>
      </w:r>
      <w:r>
        <w:rPr>
          <w:rFonts w:ascii="Bodoni-Regular" w:hAnsi="Bodoni-Regular" w:cs="Bodoni-Regular"/>
          <w:sz w:val="24"/>
          <w:szCs w:val="24"/>
        </w:rPr>
        <w:t xml:space="preserve"> </w:t>
      </w:r>
      <w:r w:rsidRPr="00C25EB1">
        <w:rPr>
          <w:rFonts w:ascii="Bodoni-Regular" w:hAnsi="Bodoni-Regular" w:cs="Bodoni-Regular"/>
          <w:sz w:val="24"/>
          <w:szCs w:val="24"/>
        </w:rPr>
        <w:t>blunt its diversity</w:t>
      </w:r>
      <w:r>
        <w:rPr>
          <w:rFonts w:ascii="Bodoni-Regular" w:hAnsi="Bodoni-Regular" w:cs="Bodoni-Regular"/>
          <w:sz w:val="24"/>
          <w:szCs w:val="24"/>
        </w:rPr>
        <w:t xml:space="preserve">. </w:t>
      </w:r>
      <w:r w:rsidRPr="00C25EB1">
        <w:rPr>
          <w:rFonts w:ascii="Bodoni-Regular" w:hAnsi="Bodoni-Regular" w:cs="Bodoni-Regular"/>
          <w:sz w:val="24"/>
          <w:szCs w:val="24"/>
        </w:rPr>
        <w:t>This would benefit the</w:t>
      </w:r>
      <w:r>
        <w:rPr>
          <w:rFonts w:ascii="Bodoni-Regular" w:hAnsi="Bodoni-Regular" w:cs="Bodoni-Regular"/>
          <w:sz w:val="24"/>
          <w:szCs w:val="24"/>
        </w:rPr>
        <w:t xml:space="preserve"> intellectual academy and also the church in no small measures.</w:t>
      </w:r>
      <w:r w:rsidR="00654C71">
        <w:rPr>
          <w:rStyle w:val="FootnoteReference"/>
          <w:rFonts w:ascii="Bodoni-Regular" w:hAnsi="Bodoni-Regular" w:cs="Bodoni-Regular"/>
          <w:sz w:val="24"/>
          <w:szCs w:val="24"/>
        </w:rPr>
        <w:footnoteReference w:id="3"/>
      </w:r>
    </w:p>
    <w:sectPr w:rsidR="008455A3" w:rsidRPr="008455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4C6" w:rsidRDefault="00FC04C6" w:rsidP="00B43884">
      <w:pPr>
        <w:spacing w:after="0" w:line="240" w:lineRule="auto"/>
      </w:pPr>
      <w:r>
        <w:separator/>
      </w:r>
    </w:p>
  </w:endnote>
  <w:endnote w:type="continuationSeparator" w:id="0">
    <w:p w:rsidR="00FC04C6" w:rsidRDefault="00FC04C6" w:rsidP="00B43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4C6" w:rsidRDefault="00FC04C6" w:rsidP="00B43884">
      <w:pPr>
        <w:spacing w:after="0" w:line="240" w:lineRule="auto"/>
      </w:pPr>
      <w:r>
        <w:separator/>
      </w:r>
    </w:p>
  </w:footnote>
  <w:footnote w:type="continuationSeparator" w:id="0">
    <w:p w:rsidR="00FC04C6" w:rsidRDefault="00FC04C6" w:rsidP="00B43884">
      <w:pPr>
        <w:spacing w:after="0" w:line="240" w:lineRule="auto"/>
      </w:pPr>
      <w:r>
        <w:continuationSeparator/>
      </w:r>
    </w:p>
  </w:footnote>
  <w:footnote w:id="1">
    <w:p w:rsidR="00B43884" w:rsidRPr="00C83750" w:rsidRDefault="00B43884">
      <w:pPr>
        <w:pStyle w:val="FootnoteText"/>
        <w:rPr>
          <w:rFonts w:ascii="Times New Roman" w:hAnsi="Times New Roman" w:cs="Times New Roman"/>
        </w:rPr>
      </w:pPr>
      <w:r w:rsidRPr="00C83750">
        <w:rPr>
          <w:rStyle w:val="FootnoteReference"/>
          <w:rFonts w:ascii="Times New Roman" w:hAnsi="Times New Roman" w:cs="Times New Roman"/>
        </w:rPr>
        <w:footnoteRef/>
      </w:r>
      <w:r w:rsidRPr="00C83750">
        <w:rPr>
          <w:rFonts w:ascii="Times New Roman" w:hAnsi="Times New Roman" w:cs="Times New Roman"/>
        </w:rPr>
        <w:t xml:space="preserve"> </w:t>
      </w:r>
      <w:proofErr w:type="gramStart"/>
      <w:r w:rsidRPr="00C83750">
        <w:rPr>
          <w:rFonts w:ascii="Times New Roman" w:hAnsi="Times New Roman" w:cs="Times New Roman"/>
        </w:rPr>
        <w:t xml:space="preserve">Cf. </w:t>
      </w:r>
      <w:proofErr w:type="spellStart"/>
      <w:r w:rsidRPr="00C83750">
        <w:rPr>
          <w:rFonts w:ascii="Times New Roman" w:hAnsi="Times New Roman" w:cs="Times New Roman"/>
        </w:rPr>
        <w:t>Wendel</w:t>
      </w:r>
      <w:proofErr w:type="spellEnd"/>
      <w:r w:rsidRPr="00C83750">
        <w:rPr>
          <w:rFonts w:ascii="Times New Roman" w:hAnsi="Times New Roman" w:cs="Times New Roman"/>
        </w:rPr>
        <w:t xml:space="preserve"> Sun, </w:t>
      </w:r>
      <w:r w:rsidRPr="00C83750">
        <w:rPr>
          <w:rFonts w:ascii="Times New Roman" w:hAnsi="Times New Roman" w:cs="Times New Roman"/>
          <w:i/>
        </w:rPr>
        <w:t>Unity and/or/in Diversity?</w:t>
      </w:r>
      <w:proofErr w:type="gramEnd"/>
      <w:r w:rsidRPr="00C83750">
        <w:rPr>
          <w:rFonts w:ascii="Times New Roman" w:hAnsi="Times New Roman" w:cs="Times New Roman"/>
          <w:i/>
        </w:rPr>
        <w:t xml:space="preserve"> A Survey of Recent New Testament Theologies, </w:t>
      </w:r>
      <w:r w:rsidRPr="00C83750">
        <w:rPr>
          <w:rFonts w:ascii="Times New Roman" w:hAnsi="Times New Roman" w:cs="Times New Roman"/>
        </w:rPr>
        <w:t xml:space="preserve">in JAET, </w:t>
      </w:r>
      <w:r w:rsidRPr="00C83750">
        <w:rPr>
          <w:rFonts w:ascii="Times New Roman" w:hAnsi="Times New Roman" w:cs="Times New Roman"/>
        </w:rPr>
        <w:t>(September 2015</w:t>
      </w:r>
      <w:r w:rsidRPr="00C83750">
        <w:rPr>
          <w:rFonts w:ascii="Times New Roman" w:hAnsi="Times New Roman" w:cs="Times New Roman"/>
        </w:rPr>
        <w:t>), Vol. 19 No. 2, p. 7,</w:t>
      </w:r>
    </w:p>
  </w:footnote>
  <w:footnote w:id="2">
    <w:p w:rsidR="009002E4" w:rsidRPr="00C83750" w:rsidRDefault="009002E4" w:rsidP="009002E4">
      <w:pPr>
        <w:pStyle w:val="FootnoteText"/>
        <w:rPr>
          <w:rFonts w:ascii="Times New Roman" w:hAnsi="Times New Roman" w:cs="Times New Roman"/>
        </w:rPr>
      </w:pPr>
      <w:r w:rsidRPr="00C83750">
        <w:rPr>
          <w:rStyle w:val="FootnoteReference"/>
          <w:rFonts w:ascii="Times New Roman" w:hAnsi="Times New Roman" w:cs="Times New Roman"/>
        </w:rPr>
        <w:footnoteRef/>
      </w:r>
      <w:r w:rsidRPr="00C83750">
        <w:rPr>
          <w:rFonts w:ascii="Times New Roman" w:hAnsi="Times New Roman" w:cs="Times New Roman"/>
        </w:rPr>
        <w:t xml:space="preserve"> Frank </w:t>
      </w:r>
      <w:proofErr w:type="spellStart"/>
      <w:r w:rsidRPr="00C83750">
        <w:rPr>
          <w:rFonts w:ascii="Times New Roman" w:hAnsi="Times New Roman" w:cs="Times New Roman"/>
        </w:rPr>
        <w:t>Thielman</w:t>
      </w:r>
      <w:proofErr w:type="spellEnd"/>
      <w:r w:rsidRPr="00C83750">
        <w:rPr>
          <w:rFonts w:ascii="Times New Roman" w:hAnsi="Times New Roman" w:cs="Times New Roman"/>
        </w:rPr>
        <w:t xml:space="preserve">, </w:t>
      </w:r>
      <w:r w:rsidRPr="00C83750">
        <w:rPr>
          <w:rFonts w:ascii="Times New Roman" w:hAnsi="Times New Roman" w:cs="Times New Roman"/>
          <w:i/>
          <w:iCs/>
        </w:rPr>
        <w:t>Theology of the New Testament: A Canonical and Synthetic Approach</w:t>
      </w:r>
      <w:r w:rsidR="00BC188E">
        <w:rPr>
          <w:rFonts w:ascii="Times New Roman" w:hAnsi="Times New Roman" w:cs="Times New Roman"/>
          <w:i/>
          <w:iCs/>
        </w:rPr>
        <w:t>,</w:t>
      </w:r>
      <w:r w:rsidRPr="00C83750">
        <w:rPr>
          <w:rFonts w:ascii="Times New Roman" w:hAnsi="Times New Roman" w:cs="Times New Roman"/>
          <w:i/>
          <w:iCs/>
        </w:rPr>
        <w:t xml:space="preserve"> </w:t>
      </w:r>
      <w:r w:rsidRPr="00C83750">
        <w:rPr>
          <w:rFonts w:ascii="Times New Roman" w:hAnsi="Times New Roman" w:cs="Times New Roman"/>
        </w:rPr>
        <w:t>(Grand Rapids, Mich.: Zondervan, 2005), p. 42.</w:t>
      </w:r>
    </w:p>
  </w:footnote>
  <w:footnote w:id="3">
    <w:p w:rsidR="00654C71" w:rsidRPr="00654C71" w:rsidRDefault="00654C7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gramStart"/>
      <w:r w:rsidRPr="00C83750">
        <w:rPr>
          <w:rFonts w:ascii="Times New Roman" w:hAnsi="Times New Roman" w:cs="Times New Roman"/>
        </w:rPr>
        <w:t xml:space="preserve">Cf. </w:t>
      </w:r>
      <w:proofErr w:type="spellStart"/>
      <w:r w:rsidRPr="00C83750">
        <w:rPr>
          <w:rFonts w:ascii="Times New Roman" w:hAnsi="Times New Roman" w:cs="Times New Roman"/>
        </w:rPr>
        <w:t>Wendel</w:t>
      </w:r>
      <w:proofErr w:type="spellEnd"/>
      <w:r w:rsidRPr="00C83750">
        <w:rPr>
          <w:rFonts w:ascii="Times New Roman" w:hAnsi="Times New Roman" w:cs="Times New Roman"/>
        </w:rPr>
        <w:t xml:space="preserve"> Sun, </w:t>
      </w:r>
      <w:r w:rsidRPr="00C83750">
        <w:rPr>
          <w:rFonts w:ascii="Times New Roman" w:hAnsi="Times New Roman" w:cs="Times New Roman"/>
          <w:i/>
        </w:rPr>
        <w:t>Unity and/or/in Diversity?</w:t>
      </w:r>
      <w:proofErr w:type="gramEnd"/>
      <w:r w:rsidRPr="00C83750">
        <w:rPr>
          <w:rFonts w:ascii="Times New Roman" w:hAnsi="Times New Roman" w:cs="Times New Roman"/>
          <w:i/>
        </w:rPr>
        <w:t xml:space="preserve"> A Survey of Recent New Testament Theologies</w:t>
      </w:r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</w:rPr>
        <w:t>p. 21.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F3F"/>
    <w:rsid w:val="00233117"/>
    <w:rsid w:val="002D5346"/>
    <w:rsid w:val="0030692C"/>
    <w:rsid w:val="003D34A9"/>
    <w:rsid w:val="00606DDB"/>
    <w:rsid w:val="006470DF"/>
    <w:rsid w:val="00654C71"/>
    <w:rsid w:val="006C53E1"/>
    <w:rsid w:val="007C2F3F"/>
    <w:rsid w:val="008455A3"/>
    <w:rsid w:val="009002E4"/>
    <w:rsid w:val="00B43884"/>
    <w:rsid w:val="00B518F9"/>
    <w:rsid w:val="00BC188E"/>
    <w:rsid w:val="00C25EB1"/>
    <w:rsid w:val="00C60499"/>
    <w:rsid w:val="00C6589C"/>
    <w:rsid w:val="00C83750"/>
    <w:rsid w:val="00CA4DAC"/>
    <w:rsid w:val="00D7743D"/>
    <w:rsid w:val="00E0131C"/>
    <w:rsid w:val="00FC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4388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388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4388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4388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388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438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DD8F8-BB20-4EA7-A7AB-ED915CB47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2020-11-25T20:32:00Z</dcterms:created>
  <dcterms:modified xsi:type="dcterms:W3CDTF">2020-11-25T22:51:00Z</dcterms:modified>
</cp:coreProperties>
</file>