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487" w:rsidRDefault="00CA7487" w:rsidP="00CA7487">
      <w:pPr>
        <w:autoSpaceDE w:val="0"/>
        <w:autoSpaceDN w:val="0"/>
        <w:adjustRightInd w:val="0"/>
        <w:spacing w:after="0" w:line="360" w:lineRule="auto"/>
        <w:jc w:val="center"/>
        <w:rPr>
          <w:rFonts w:ascii="Times New Roman" w:hAnsi="Times New Roman" w:cs="Times New Roman"/>
          <w:bCs/>
          <w:sz w:val="28"/>
          <w:szCs w:val="28"/>
        </w:rPr>
      </w:pPr>
      <w:r w:rsidRPr="00CA7487">
        <w:rPr>
          <w:rFonts w:ascii="Times New Roman" w:hAnsi="Times New Roman" w:cs="Times New Roman"/>
          <w:sz w:val="28"/>
          <w:szCs w:val="28"/>
        </w:rPr>
        <w:t>TOPIC: Summary of</w:t>
      </w:r>
      <w:r w:rsidRPr="00CA7487">
        <w:rPr>
          <w:rFonts w:ascii="Times New Roman" w:hAnsi="Times New Roman" w:cs="Times New Roman"/>
          <w:bCs/>
          <w:sz w:val="28"/>
          <w:szCs w:val="28"/>
        </w:rPr>
        <w:t xml:space="preserve"> Unity and/or/in Diversity? A Survey of Recent New Testament Theologies by Wendel Sun</w:t>
      </w:r>
    </w:p>
    <w:p w:rsidR="00CA7487" w:rsidRPr="00CA7487" w:rsidRDefault="00CA7487" w:rsidP="00CA7487">
      <w:pPr>
        <w:autoSpaceDE w:val="0"/>
        <w:autoSpaceDN w:val="0"/>
        <w:adjustRightInd w:val="0"/>
        <w:spacing w:after="0" w:line="360" w:lineRule="auto"/>
        <w:jc w:val="center"/>
        <w:rPr>
          <w:rFonts w:ascii="Times New Roman" w:hAnsi="Times New Roman" w:cs="Times New Roman"/>
          <w:bCs/>
          <w:sz w:val="28"/>
          <w:szCs w:val="28"/>
        </w:rPr>
      </w:pPr>
    </w:p>
    <w:p w:rsidR="00CA7487" w:rsidRPr="00CA7487" w:rsidRDefault="00CA7487" w:rsidP="00CA7487">
      <w:pPr>
        <w:jc w:val="center"/>
        <w:rPr>
          <w:rFonts w:ascii="Times New Roman" w:hAnsi="Times New Roman" w:cs="Times New Roman"/>
          <w:sz w:val="28"/>
          <w:szCs w:val="28"/>
        </w:rPr>
      </w:pPr>
      <w:r w:rsidRPr="00CA7487">
        <w:rPr>
          <w:rFonts w:ascii="Times New Roman" w:hAnsi="Times New Roman" w:cs="Times New Roman"/>
          <w:sz w:val="28"/>
          <w:szCs w:val="28"/>
        </w:rPr>
        <w:t>By</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ind w:firstLine="720"/>
        <w:jc w:val="center"/>
        <w:rPr>
          <w:rFonts w:ascii="Times New Roman" w:hAnsi="Times New Roman" w:cs="Times New Roman"/>
          <w:sz w:val="28"/>
          <w:szCs w:val="28"/>
        </w:rPr>
      </w:pPr>
      <w:r w:rsidRPr="00CA7487">
        <w:rPr>
          <w:rFonts w:ascii="Times New Roman" w:hAnsi="Times New Roman" w:cs="Times New Roman"/>
          <w:sz w:val="28"/>
          <w:szCs w:val="28"/>
        </w:rPr>
        <w:t>STUDENT: Ejefoh Ambrosemary C.K. DI/860</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b/>
          <w:sz w:val="28"/>
          <w:szCs w:val="28"/>
        </w:rPr>
      </w:pPr>
      <w:r w:rsidRPr="00CA7487">
        <w:rPr>
          <w:rFonts w:ascii="Times New Roman" w:hAnsi="Times New Roman" w:cs="Times New Roman"/>
          <w:b/>
          <w:sz w:val="28"/>
          <w:szCs w:val="28"/>
        </w:rPr>
        <w:t>Being a term paper submitted to the Theology Department of the Dominican Institute, in partial fulfillment for the requirement of the Course</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r w:rsidRPr="00CA7487">
        <w:rPr>
          <w:rFonts w:ascii="Times New Roman" w:hAnsi="Times New Roman" w:cs="Times New Roman"/>
          <w:sz w:val="28"/>
          <w:szCs w:val="28"/>
        </w:rPr>
        <w:t>COURSE TITLE: TH 311 Theology of New Testament</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r w:rsidRPr="00CA7487">
        <w:rPr>
          <w:rFonts w:ascii="Times New Roman" w:hAnsi="Times New Roman" w:cs="Times New Roman"/>
          <w:sz w:val="28"/>
          <w:szCs w:val="28"/>
        </w:rPr>
        <w:t xml:space="preserve">LECTURER: </w:t>
      </w:r>
      <w:r w:rsidRPr="00CA7487">
        <w:rPr>
          <w:rFonts w:ascii="Times New Roman" w:hAnsi="Times New Roman" w:cs="Times New Roman"/>
          <w:bCs/>
          <w:sz w:val="28"/>
          <w:szCs w:val="28"/>
        </w:rPr>
        <w:t>Fr. Gilbert Munana, OP</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r w:rsidRPr="00CA7487">
        <w:rPr>
          <w:rFonts w:ascii="Times New Roman" w:hAnsi="Times New Roman" w:cs="Times New Roman"/>
          <w:sz w:val="28"/>
          <w:szCs w:val="28"/>
        </w:rPr>
        <w:t>SAMONDA, IBADAN.</w:t>
      </w: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CA7487" w:rsidRPr="00CA7487" w:rsidRDefault="00CA7487" w:rsidP="00CA7487">
      <w:pPr>
        <w:jc w:val="center"/>
        <w:rPr>
          <w:rFonts w:ascii="Times New Roman" w:hAnsi="Times New Roman" w:cs="Times New Roman"/>
          <w:sz w:val="28"/>
          <w:szCs w:val="28"/>
        </w:rPr>
      </w:pPr>
    </w:p>
    <w:p w:rsidR="007E62AC" w:rsidRPr="00CA7487" w:rsidRDefault="00CA7487" w:rsidP="00CA7487">
      <w:pPr>
        <w:autoSpaceDE w:val="0"/>
        <w:autoSpaceDN w:val="0"/>
        <w:adjustRightInd w:val="0"/>
        <w:spacing w:after="0" w:line="360" w:lineRule="auto"/>
        <w:jc w:val="center"/>
        <w:rPr>
          <w:rFonts w:ascii="Times New Roman" w:hAnsi="Times New Roman" w:cs="Times New Roman"/>
          <w:b/>
          <w:bCs/>
          <w:sz w:val="28"/>
          <w:szCs w:val="28"/>
        </w:rPr>
      </w:pPr>
      <w:r w:rsidRPr="00CA7487">
        <w:rPr>
          <w:rFonts w:ascii="Times New Roman" w:hAnsi="Times New Roman" w:cs="Times New Roman"/>
          <w:sz w:val="28"/>
          <w:szCs w:val="28"/>
        </w:rPr>
        <w:t>NOVEMBER, 2020</w:t>
      </w:r>
    </w:p>
    <w:p w:rsidR="00CA7487" w:rsidRDefault="00CA7487" w:rsidP="004D7192">
      <w:pPr>
        <w:autoSpaceDE w:val="0"/>
        <w:autoSpaceDN w:val="0"/>
        <w:adjustRightInd w:val="0"/>
        <w:spacing w:after="0" w:line="360" w:lineRule="auto"/>
        <w:rPr>
          <w:rFonts w:ascii="Times New Roman" w:hAnsi="Times New Roman" w:cs="Times New Roman"/>
          <w:b/>
          <w:bCs/>
          <w:sz w:val="24"/>
          <w:szCs w:val="24"/>
        </w:rPr>
      </w:pPr>
    </w:p>
    <w:p w:rsidR="00B81732" w:rsidRPr="004D7192" w:rsidRDefault="00B81732" w:rsidP="004D7192">
      <w:pPr>
        <w:autoSpaceDE w:val="0"/>
        <w:autoSpaceDN w:val="0"/>
        <w:adjustRightInd w:val="0"/>
        <w:spacing w:after="0" w:line="360" w:lineRule="auto"/>
        <w:rPr>
          <w:rFonts w:ascii="Times New Roman" w:hAnsi="Times New Roman" w:cs="Times New Roman"/>
          <w:b/>
          <w:bCs/>
          <w:sz w:val="24"/>
          <w:szCs w:val="24"/>
        </w:rPr>
      </w:pPr>
      <w:r w:rsidRPr="004D7192">
        <w:rPr>
          <w:rFonts w:ascii="Times New Roman" w:hAnsi="Times New Roman" w:cs="Times New Roman"/>
          <w:b/>
          <w:bCs/>
          <w:sz w:val="24"/>
          <w:szCs w:val="24"/>
        </w:rPr>
        <w:lastRenderedPageBreak/>
        <w:t>Introduction</w:t>
      </w:r>
    </w:p>
    <w:p w:rsidR="00F610E5" w:rsidRPr="004D7192" w:rsidRDefault="00023E38" w:rsidP="004D7192">
      <w:pPr>
        <w:autoSpaceDE w:val="0"/>
        <w:autoSpaceDN w:val="0"/>
        <w:adjustRightInd w:val="0"/>
        <w:spacing w:line="360" w:lineRule="auto"/>
        <w:jc w:val="both"/>
        <w:rPr>
          <w:rFonts w:ascii="Times New Roman" w:hAnsi="Times New Roman" w:cs="Times New Roman"/>
          <w:sz w:val="24"/>
          <w:szCs w:val="24"/>
        </w:rPr>
      </w:pPr>
      <w:r w:rsidRPr="004D7192">
        <w:rPr>
          <w:rFonts w:ascii="Times New Roman" w:hAnsi="Times New Roman" w:cs="Times New Roman"/>
          <w:sz w:val="24"/>
          <w:szCs w:val="24"/>
        </w:rPr>
        <w:t>Scholars attributed the unparalleled explosion in the publication of New Testament theologies (NTT) in recent years to the growth of interest in biblical theology that moves beyond the mere historical grammatical investigation of the text and especially the surge of concern for the theological interpretation of Scripture.</w:t>
      </w:r>
      <w:r w:rsidRPr="004D7192">
        <w:rPr>
          <w:rStyle w:val="FootnoteReference"/>
          <w:rFonts w:ascii="Times New Roman" w:hAnsi="Times New Roman" w:cs="Times New Roman"/>
          <w:sz w:val="24"/>
          <w:szCs w:val="24"/>
        </w:rPr>
        <w:footnoteReference w:id="2"/>
      </w:r>
      <w:r w:rsidR="00A40AA2" w:rsidRPr="004D7192">
        <w:rPr>
          <w:rFonts w:ascii="Times New Roman" w:hAnsi="Times New Roman" w:cs="Times New Roman"/>
          <w:sz w:val="24"/>
          <w:szCs w:val="24"/>
        </w:rPr>
        <w:t xml:space="preserve"> </w:t>
      </w:r>
      <w:r w:rsidR="00F24F71" w:rsidRPr="004D7192">
        <w:rPr>
          <w:rFonts w:ascii="Times New Roman" w:hAnsi="Times New Roman" w:cs="Times New Roman"/>
          <w:sz w:val="24"/>
          <w:szCs w:val="24"/>
        </w:rPr>
        <w:t>Wendel observed that s</w:t>
      </w:r>
      <w:r w:rsidR="00A40AA2" w:rsidRPr="004D7192">
        <w:rPr>
          <w:rFonts w:ascii="Times New Roman" w:hAnsi="Times New Roman" w:cs="Times New Roman"/>
          <w:sz w:val="24"/>
          <w:szCs w:val="24"/>
        </w:rPr>
        <w:t>uch proliferation</w:t>
      </w:r>
      <w:r w:rsidR="00C435FB" w:rsidRPr="004D7192">
        <w:rPr>
          <w:rFonts w:ascii="Times New Roman" w:hAnsi="Times New Roman" w:cs="Times New Roman"/>
          <w:sz w:val="24"/>
          <w:szCs w:val="24"/>
        </w:rPr>
        <w:t xml:space="preserve"> of options at the disposal of students</w:t>
      </w:r>
      <w:r w:rsidR="00A40AA2" w:rsidRPr="004D7192">
        <w:rPr>
          <w:rFonts w:ascii="Times New Roman" w:hAnsi="Times New Roman" w:cs="Times New Roman"/>
          <w:sz w:val="24"/>
          <w:szCs w:val="24"/>
        </w:rPr>
        <w:t xml:space="preserve"> </w:t>
      </w:r>
      <w:r w:rsidR="00AE13AA" w:rsidRPr="004D7192">
        <w:rPr>
          <w:rFonts w:ascii="Times New Roman" w:hAnsi="Times New Roman" w:cs="Times New Roman"/>
          <w:sz w:val="24"/>
          <w:szCs w:val="24"/>
        </w:rPr>
        <w:t xml:space="preserve">of NTT </w:t>
      </w:r>
      <w:r w:rsidR="00A40AA2" w:rsidRPr="004D7192">
        <w:rPr>
          <w:rFonts w:ascii="Times New Roman" w:hAnsi="Times New Roman" w:cs="Times New Roman"/>
          <w:sz w:val="24"/>
          <w:szCs w:val="24"/>
        </w:rPr>
        <w:t>might divert attention from research.</w:t>
      </w:r>
      <w:r w:rsidR="00C435FB" w:rsidRPr="004D7192">
        <w:rPr>
          <w:rFonts w:ascii="Times New Roman" w:hAnsi="Times New Roman" w:cs="Times New Roman"/>
          <w:sz w:val="24"/>
          <w:szCs w:val="24"/>
        </w:rPr>
        <w:t xml:space="preserve"> However, one common feature of these contributions is their attention to the issue of the unity and</w:t>
      </w:r>
      <w:r w:rsidR="00F610E5" w:rsidRPr="004D7192">
        <w:rPr>
          <w:rFonts w:ascii="Times New Roman" w:hAnsi="Times New Roman" w:cs="Times New Roman"/>
          <w:sz w:val="24"/>
          <w:szCs w:val="24"/>
        </w:rPr>
        <w:t xml:space="preserve"> diversity of the New Testament </w:t>
      </w:r>
      <w:r w:rsidR="00C435FB" w:rsidRPr="004D7192">
        <w:rPr>
          <w:rFonts w:ascii="Times New Roman" w:hAnsi="Times New Roman" w:cs="Times New Roman"/>
          <w:sz w:val="24"/>
          <w:szCs w:val="24"/>
        </w:rPr>
        <w:t>(NT).</w:t>
      </w:r>
      <w:r w:rsidR="002523BA" w:rsidRPr="004D7192">
        <w:rPr>
          <w:rFonts w:ascii="Times New Roman" w:hAnsi="Times New Roman" w:cs="Times New Roman"/>
          <w:sz w:val="24"/>
          <w:szCs w:val="24"/>
        </w:rPr>
        <w:t xml:space="preserve"> What</w:t>
      </w:r>
      <w:r w:rsidR="007E205C">
        <w:rPr>
          <w:rFonts w:ascii="Times New Roman" w:hAnsi="Times New Roman" w:cs="Times New Roman"/>
          <w:sz w:val="24"/>
          <w:szCs w:val="24"/>
        </w:rPr>
        <w:t xml:space="preserve"> Wendel tried to achieve in the</w:t>
      </w:r>
      <w:r w:rsidR="002523BA" w:rsidRPr="004D7192">
        <w:rPr>
          <w:rFonts w:ascii="Times New Roman" w:hAnsi="Times New Roman" w:cs="Times New Roman"/>
          <w:sz w:val="24"/>
          <w:szCs w:val="24"/>
        </w:rPr>
        <w:t xml:space="preserve"> article is a brief survey of some of the more important recent contributions to NTT in which he highlighted the ways they address this topic. He also</w:t>
      </w:r>
      <w:r w:rsidR="003D4CD4" w:rsidRPr="004D7192">
        <w:rPr>
          <w:rFonts w:ascii="Times New Roman" w:hAnsi="Times New Roman" w:cs="Times New Roman"/>
          <w:sz w:val="24"/>
          <w:szCs w:val="24"/>
        </w:rPr>
        <w:t xml:space="preserve"> </w:t>
      </w:r>
      <w:r w:rsidR="002523BA" w:rsidRPr="004D7192">
        <w:rPr>
          <w:rFonts w:ascii="Times New Roman" w:hAnsi="Times New Roman" w:cs="Times New Roman"/>
          <w:sz w:val="24"/>
          <w:szCs w:val="24"/>
        </w:rPr>
        <w:t>argued that although the theme of unity and diversity has been treated in nearly every NTT publication, it has yet to be articulated</w:t>
      </w:r>
      <w:r w:rsidR="00597685" w:rsidRPr="004D7192">
        <w:rPr>
          <w:rFonts w:ascii="Times New Roman" w:hAnsi="Times New Roman" w:cs="Times New Roman"/>
          <w:sz w:val="24"/>
          <w:szCs w:val="24"/>
        </w:rPr>
        <w:t xml:space="preserve"> </w:t>
      </w:r>
      <w:r w:rsidR="002523BA" w:rsidRPr="004D7192">
        <w:rPr>
          <w:rFonts w:ascii="Times New Roman" w:hAnsi="Times New Roman" w:cs="Times New Roman"/>
          <w:sz w:val="24"/>
          <w:szCs w:val="24"/>
        </w:rPr>
        <w:t xml:space="preserve">in a way that does justice to the unifying narrative structure of the NT </w:t>
      </w:r>
      <w:r w:rsidR="007317D1">
        <w:rPr>
          <w:rFonts w:ascii="Times New Roman" w:hAnsi="Times New Roman" w:cs="Times New Roman"/>
          <w:sz w:val="24"/>
          <w:szCs w:val="24"/>
        </w:rPr>
        <w:t>message, at the same time</w:t>
      </w:r>
      <w:r w:rsidR="00C97852">
        <w:rPr>
          <w:rFonts w:ascii="Times New Roman" w:hAnsi="Times New Roman" w:cs="Times New Roman"/>
          <w:sz w:val="24"/>
          <w:szCs w:val="24"/>
        </w:rPr>
        <w:t xml:space="preserve"> ta</w:t>
      </w:r>
      <w:r w:rsidR="002523BA" w:rsidRPr="004D7192">
        <w:rPr>
          <w:rFonts w:ascii="Times New Roman" w:hAnsi="Times New Roman" w:cs="Times New Roman"/>
          <w:sz w:val="24"/>
          <w:szCs w:val="24"/>
        </w:rPr>
        <w:t>k</w:t>
      </w:r>
      <w:r w:rsidR="00C97852">
        <w:rPr>
          <w:rFonts w:ascii="Times New Roman" w:hAnsi="Times New Roman" w:cs="Times New Roman"/>
          <w:sz w:val="24"/>
          <w:szCs w:val="24"/>
        </w:rPr>
        <w:t>ing</w:t>
      </w:r>
      <w:r w:rsidR="002523BA" w:rsidRPr="004D7192">
        <w:rPr>
          <w:rFonts w:ascii="Times New Roman" w:hAnsi="Times New Roman" w:cs="Times New Roman"/>
          <w:sz w:val="24"/>
          <w:szCs w:val="24"/>
        </w:rPr>
        <w:t xml:space="preserve"> account of the unique contribution of each NT document.</w:t>
      </w:r>
      <w:r w:rsidR="003D4CD4" w:rsidRPr="004D7192">
        <w:rPr>
          <w:rFonts w:ascii="Times New Roman" w:hAnsi="Times New Roman" w:cs="Times New Roman"/>
          <w:sz w:val="24"/>
          <w:szCs w:val="24"/>
        </w:rPr>
        <w:t xml:space="preserve"> </w:t>
      </w:r>
      <w:r w:rsidR="00536387" w:rsidRPr="004D7192">
        <w:rPr>
          <w:rFonts w:ascii="Times New Roman" w:hAnsi="Times New Roman" w:cs="Times New Roman"/>
          <w:sz w:val="24"/>
          <w:szCs w:val="24"/>
        </w:rPr>
        <w:t>He presented his argument based on the treatment of unity and diversity found in each</w:t>
      </w:r>
      <w:r w:rsidR="00D5221F">
        <w:rPr>
          <w:rFonts w:ascii="Times New Roman" w:hAnsi="Times New Roman" w:cs="Times New Roman"/>
          <w:sz w:val="24"/>
          <w:szCs w:val="24"/>
        </w:rPr>
        <w:t xml:space="preserve"> of the NTT publication</w:t>
      </w:r>
      <w:r w:rsidR="00536387" w:rsidRPr="004D7192">
        <w:rPr>
          <w:rFonts w:ascii="Times New Roman" w:hAnsi="Times New Roman" w:cs="Times New Roman"/>
          <w:sz w:val="24"/>
          <w:szCs w:val="24"/>
        </w:rPr>
        <w:t xml:space="preserve">. </w:t>
      </w:r>
      <w:r w:rsidR="00F610E5" w:rsidRPr="004D7192">
        <w:rPr>
          <w:rFonts w:ascii="Times New Roman" w:hAnsi="Times New Roman" w:cs="Times New Roman"/>
          <w:sz w:val="24"/>
          <w:szCs w:val="24"/>
        </w:rPr>
        <w:t>Meanwhile, the publication of new titles in NTT has not been without critics. For instance, Räisänen and Hatina consider unity and diversity as irrelevance since</w:t>
      </w:r>
      <w:r w:rsidR="00573F23">
        <w:rPr>
          <w:rFonts w:ascii="Times New Roman" w:hAnsi="Times New Roman" w:cs="Times New Roman"/>
          <w:sz w:val="24"/>
          <w:szCs w:val="24"/>
        </w:rPr>
        <w:t>, for them,</w:t>
      </w:r>
      <w:r w:rsidR="00F610E5" w:rsidRPr="004D7192">
        <w:rPr>
          <w:rFonts w:ascii="Times New Roman" w:hAnsi="Times New Roman" w:cs="Times New Roman"/>
          <w:sz w:val="24"/>
          <w:szCs w:val="24"/>
        </w:rPr>
        <w:t xml:space="preserve"> a unified NTT is neither desirable nor even possible. Nonetheless, </w:t>
      </w:r>
      <w:r w:rsidR="00017428">
        <w:rPr>
          <w:rFonts w:ascii="Times New Roman" w:hAnsi="Times New Roman" w:cs="Times New Roman"/>
          <w:sz w:val="24"/>
          <w:szCs w:val="24"/>
        </w:rPr>
        <w:t xml:space="preserve">it is apparent that </w:t>
      </w:r>
      <w:r w:rsidR="00F610E5" w:rsidRPr="004D7192">
        <w:rPr>
          <w:rFonts w:ascii="Times New Roman" w:hAnsi="Times New Roman" w:cs="Times New Roman"/>
          <w:sz w:val="24"/>
          <w:szCs w:val="24"/>
        </w:rPr>
        <w:t>many scholars disagree with them as the following discussion will demonstrate.</w:t>
      </w:r>
    </w:p>
    <w:p w:rsidR="00575B75" w:rsidRPr="004D7192" w:rsidRDefault="001B0663" w:rsidP="004D7192">
      <w:pPr>
        <w:autoSpaceDE w:val="0"/>
        <w:autoSpaceDN w:val="0"/>
        <w:adjustRightInd w:val="0"/>
        <w:spacing w:line="360" w:lineRule="auto"/>
        <w:jc w:val="both"/>
        <w:rPr>
          <w:rFonts w:ascii="Times New Roman" w:hAnsi="Times New Roman" w:cs="Times New Roman"/>
          <w:sz w:val="24"/>
          <w:szCs w:val="24"/>
        </w:rPr>
      </w:pPr>
      <w:r w:rsidRPr="004D7192">
        <w:rPr>
          <w:rFonts w:ascii="Times New Roman" w:hAnsi="Times New Roman" w:cs="Times New Roman"/>
          <w:bCs/>
          <w:sz w:val="24"/>
          <w:szCs w:val="24"/>
        </w:rPr>
        <w:t xml:space="preserve">I. Howard Marshall, </w:t>
      </w:r>
      <w:r w:rsidRPr="004D7192">
        <w:rPr>
          <w:rFonts w:ascii="Times New Roman" w:hAnsi="Times New Roman" w:cs="Times New Roman"/>
          <w:bCs/>
          <w:i/>
          <w:iCs/>
          <w:sz w:val="24"/>
          <w:szCs w:val="24"/>
        </w:rPr>
        <w:t>New Testament Theology: Many Witnesses, One Gospel</w:t>
      </w:r>
      <w:r w:rsidRPr="004D7192">
        <w:rPr>
          <w:rFonts w:ascii="Times New Roman" w:hAnsi="Times New Roman" w:cs="Times New Roman"/>
          <w:bCs/>
          <w:iCs/>
          <w:sz w:val="24"/>
          <w:szCs w:val="24"/>
        </w:rPr>
        <w:t xml:space="preserve">. His </w:t>
      </w:r>
      <w:r w:rsidRPr="004D7192">
        <w:rPr>
          <w:rFonts w:ascii="Times New Roman" w:hAnsi="Times New Roman" w:cs="Times New Roman"/>
          <w:sz w:val="24"/>
          <w:szCs w:val="24"/>
        </w:rPr>
        <w:t xml:space="preserve">subtitle highlights the importance of unity and diversity. </w:t>
      </w:r>
      <w:r w:rsidR="00D021E6" w:rsidRPr="004D7192">
        <w:rPr>
          <w:rFonts w:ascii="Times New Roman" w:hAnsi="Times New Roman" w:cs="Times New Roman"/>
          <w:sz w:val="24"/>
          <w:szCs w:val="24"/>
        </w:rPr>
        <w:t>He begins with diversity and moves toward unity; his basic approach is to summarize the unique theological themes of each NT document and only then to show the basic lines of theological unity that span the canon, pushing beyond the writings themselves to the “underlying history and experience” of the writers.</w:t>
      </w:r>
      <w:r w:rsidR="00E91D53" w:rsidRPr="004D7192">
        <w:rPr>
          <w:rStyle w:val="FootnoteReference"/>
          <w:rFonts w:ascii="Times New Roman" w:hAnsi="Times New Roman" w:cs="Times New Roman"/>
          <w:sz w:val="24"/>
          <w:szCs w:val="24"/>
        </w:rPr>
        <w:footnoteReference w:id="3"/>
      </w:r>
      <w:r w:rsidR="00065CE8" w:rsidRPr="004D7192">
        <w:rPr>
          <w:rFonts w:ascii="Times New Roman" w:hAnsi="Times New Roman" w:cs="Times New Roman"/>
          <w:sz w:val="24"/>
          <w:szCs w:val="24"/>
        </w:rPr>
        <w:t xml:space="preserve"> </w:t>
      </w:r>
      <w:r w:rsidR="0094538F" w:rsidRPr="004D7192">
        <w:rPr>
          <w:rFonts w:ascii="Times New Roman" w:hAnsi="Times New Roman" w:cs="Times New Roman"/>
          <w:sz w:val="24"/>
          <w:szCs w:val="24"/>
        </w:rPr>
        <w:t>Thielman emphasizes the historical setting of each NT book and explains how this background</w:t>
      </w:r>
      <w:r w:rsidR="00065CE8" w:rsidRPr="004D7192">
        <w:rPr>
          <w:rFonts w:ascii="Times New Roman" w:hAnsi="Times New Roman" w:cs="Times New Roman"/>
          <w:sz w:val="24"/>
          <w:szCs w:val="24"/>
        </w:rPr>
        <w:t xml:space="preserve"> </w:t>
      </w:r>
      <w:r w:rsidR="0094538F" w:rsidRPr="004D7192">
        <w:rPr>
          <w:rFonts w:ascii="Times New Roman" w:hAnsi="Times New Roman" w:cs="Times New Roman"/>
          <w:sz w:val="24"/>
          <w:szCs w:val="24"/>
        </w:rPr>
        <w:t>influences its interpretation. Like Marshall, he is concerned to defend the uniqueness of each</w:t>
      </w:r>
      <w:r w:rsidR="00065CE8" w:rsidRPr="004D7192">
        <w:rPr>
          <w:rFonts w:ascii="Times New Roman" w:hAnsi="Times New Roman" w:cs="Times New Roman"/>
          <w:sz w:val="24"/>
          <w:szCs w:val="24"/>
        </w:rPr>
        <w:t xml:space="preserve"> </w:t>
      </w:r>
      <w:r w:rsidR="0094538F" w:rsidRPr="004D7192">
        <w:rPr>
          <w:rFonts w:ascii="Times New Roman" w:hAnsi="Times New Roman" w:cs="Times New Roman"/>
          <w:sz w:val="24"/>
          <w:szCs w:val="24"/>
        </w:rPr>
        <w:t>of the NT documents while at the same time demonstrating a fundamental unity across the NT canon.</w:t>
      </w:r>
      <w:r w:rsidR="0094538F" w:rsidRPr="004D7192">
        <w:rPr>
          <w:rStyle w:val="FootnoteReference"/>
          <w:rFonts w:ascii="Times New Roman" w:hAnsi="Times New Roman" w:cs="Times New Roman"/>
          <w:sz w:val="24"/>
          <w:szCs w:val="24"/>
        </w:rPr>
        <w:footnoteReference w:id="4"/>
      </w:r>
      <w:r w:rsidR="00C073EA" w:rsidRPr="004D7192">
        <w:rPr>
          <w:rFonts w:ascii="Times New Roman" w:hAnsi="Times New Roman" w:cs="Times New Roman"/>
          <w:sz w:val="24"/>
          <w:szCs w:val="24"/>
        </w:rPr>
        <w:t xml:space="preserve"> Like </w:t>
      </w:r>
      <w:r w:rsidR="00C073EA" w:rsidRPr="004D7192">
        <w:rPr>
          <w:rFonts w:ascii="Times New Roman" w:hAnsi="Times New Roman" w:cs="Times New Roman"/>
          <w:sz w:val="24"/>
          <w:szCs w:val="24"/>
        </w:rPr>
        <w:lastRenderedPageBreak/>
        <w:t>Marshall and Thielman, Matera seeks to do justice to the diverse contributions of the various NT texts while showing that within this diversity there is a core of theological unity. In his work,</w:t>
      </w:r>
      <w:r w:rsidR="00C073EA" w:rsidRPr="004D7192">
        <w:rPr>
          <w:rFonts w:ascii="Times New Roman" w:hAnsi="Times New Roman" w:cs="Times New Roman"/>
          <w:b/>
          <w:bCs/>
          <w:sz w:val="24"/>
          <w:szCs w:val="24"/>
        </w:rPr>
        <w:t xml:space="preserve"> </w:t>
      </w:r>
      <w:r w:rsidR="00C073EA" w:rsidRPr="004D7192">
        <w:rPr>
          <w:rFonts w:ascii="Times New Roman" w:hAnsi="Times New Roman" w:cs="Times New Roman"/>
          <w:bCs/>
          <w:i/>
          <w:iCs/>
          <w:sz w:val="24"/>
          <w:szCs w:val="24"/>
        </w:rPr>
        <w:t>New Testament Theology: Exploring Diversity and Unity</w:t>
      </w:r>
      <w:r w:rsidR="00C073EA" w:rsidRPr="004D7192">
        <w:rPr>
          <w:rFonts w:ascii="Times New Roman" w:hAnsi="Times New Roman" w:cs="Times New Roman"/>
          <w:bCs/>
          <w:iCs/>
          <w:sz w:val="24"/>
          <w:szCs w:val="24"/>
        </w:rPr>
        <w:t xml:space="preserve">, he </w:t>
      </w:r>
      <w:r w:rsidR="00C073EA" w:rsidRPr="004D7192">
        <w:rPr>
          <w:rFonts w:ascii="Times New Roman" w:hAnsi="Times New Roman" w:cs="Times New Roman"/>
          <w:sz w:val="24"/>
          <w:szCs w:val="24"/>
        </w:rPr>
        <w:t>argues that NTT “should seek to provide a theological interpretation of the New Testament that integrates and relates the diverse theologies of the New Testament into a unified whole without harmonizing them.”</w:t>
      </w:r>
      <w:r w:rsidR="0049769F" w:rsidRPr="004D7192">
        <w:rPr>
          <w:rFonts w:ascii="Times New Roman" w:hAnsi="Times New Roman" w:cs="Times New Roman"/>
          <w:sz w:val="24"/>
          <w:szCs w:val="24"/>
        </w:rPr>
        <w:t xml:space="preserve"> Unlike the aforementioned scholars, Schreiner emphasizes unity with little regard to diversity. He uses a thematic approach, arguing that this will aid in understanding both the overall unity of the NT and the individual contributions of its authors.</w:t>
      </w:r>
      <w:r w:rsidR="00BA766B" w:rsidRPr="004D7192">
        <w:rPr>
          <w:rFonts w:ascii="Times New Roman" w:hAnsi="Times New Roman" w:cs="Times New Roman"/>
          <w:sz w:val="24"/>
          <w:szCs w:val="24"/>
        </w:rPr>
        <w:t xml:space="preserve"> </w:t>
      </w:r>
      <w:r w:rsidR="00305688" w:rsidRPr="004D7192">
        <w:rPr>
          <w:rFonts w:ascii="Times New Roman" w:hAnsi="Times New Roman" w:cs="Times New Roman"/>
          <w:sz w:val="24"/>
          <w:szCs w:val="24"/>
        </w:rPr>
        <w:t>With this approach he exposes</w:t>
      </w:r>
      <w:r w:rsidR="00BA766B" w:rsidRPr="004D7192">
        <w:rPr>
          <w:rFonts w:ascii="Times New Roman" w:hAnsi="Times New Roman" w:cs="Times New Roman"/>
          <w:sz w:val="24"/>
          <w:szCs w:val="24"/>
        </w:rPr>
        <w:t xml:space="preserve"> the NT’s fundam</w:t>
      </w:r>
      <w:r w:rsidR="00305688" w:rsidRPr="004D7192">
        <w:rPr>
          <w:rFonts w:ascii="Times New Roman" w:hAnsi="Times New Roman" w:cs="Times New Roman"/>
          <w:sz w:val="24"/>
          <w:szCs w:val="24"/>
        </w:rPr>
        <w:t>ental theological themes and demonstrates</w:t>
      </w:r>
      <w:r w:rsidR="00BA766B" w:rsidRPr="004D7192">
        <w:rPr>
          <w:rFonts w:ascii="Times New Roman" w:hAnsi="Times New Roman" w:cs="Times New Roman"/>
          <w:sz w:val="24"/>
          <w:szCs w:val="24"/>
        </w:rPr>
        <w:t xml:space="preserve"> that these themes run throughout the canon.</w:t>
      </w:r>
      <w:r w:rsidR="0031268F" w:rsidRPr="004D7192">
        <w:rPr>
          <w:rFonts w:ascii="Times New Roman" w:hAnsi="Times New Roman" w:cs="Times New Roman"/>
          <w:sz w:val="24"/>
          <w:szCs w:val="24"/>
        </w:rPr>
        <w:t xml:space="preserve"> Schnelle focuses almost entirely on diversity</w:t>
      </w:r>
      <w:r w:rsidR="00CB7DF8" w:rsidRPr="004D7192">
        <w:rPr>
          <w:rFonts w:ascii="Times New Roman" w:hAnsi="Times New Roman" w:cs="Times New Roman"/>
          <w:sz w:val="24"/>
          <w:szCs w:val="24"/>
        </w:rPr>
        <w:t>. He asserts on historical and theological grounds that “</w:t>
      </w:r>
      <w:r w:rsidR="00CB7DF8" w:rsidRPr="004D7192">
        <w:rPr>
          <w:rFonts w:ascii="Times New Roman" w:hAnsi="Times New Roman" w:cs="Times New Roman"/>
          <w:i/>
          <w:iCs/>
          <w:sz w:val="24"/>
          <w:szCs w:val="24"/>
        </w:rPr>
        <w:t>variety clearly has the precedence</w:t>
      </w:r>
      <w:r w:rsidR="00CB7DF8" w:rsidRPr="004D7192">
        <w:rPr>
          <w:rFonts w:ascii="Times New Roman" w:hAnsi="Times New Roman" w:cs="Times New Roman"/>
          <w:sz w:val="24"/>
          <w:szCs w:val="24"/>
        </w:rPr>
        <w:t xml:space="preserve">, and there can be no such thing as </w:t>
      </w:r>
      <w:r w:rsidR="00CB7DF8" w:rsidRPr="004D7192">
        <w:rPr>
          <w:rFonts w:ascii="Times New Roman" w:hAnsi="Times New Roman" w:cs="Times New Roman"/>
          <w:i/>
          <w:iCs/>
          <w:sz w:val="24"/>
          <w:szCs w:val="24"/>
        </w:rPr>
        <w:t xml:space="preserve">the </w:t>
      </w:r>
      <w:r w:rsidR="00CB7DF8" w:rsidRPr="004D7192">
        <w:rPr>
          <w:rFonts w:ascii="Times New Roman" w:hAnsi="Times New Roman" w:cs="Times New Roman"/>
          <w:sz w:val="24"/>
          <w:szCs w:val="24"/>
        </w:rPr>
        <w:t>New Testament theology in the singular.”</w:t>
      </w:r>
      <w:r w:rsidR="004B73B8" w:rsidRPr="004D7192">
        <w:rPr>
          <w:rFonts w:ascii="Times New Roman" w:hAnsi="Times New Roman" w:cs="Times New Roman"/>
          <w:sz w:val="24"/>
          <w:szCs w:val="24"/>
        </w:rPr>
        <w:t xml:space="preserve"> </w:t>
      </w:r>
      <w:r w:rsidR="0045337E" w:rsidRPr="004D7192">
        <w:rPr>
          <w:rFonts w:ascii="Times New Roman" w:hAnsi="Times New Roman" w:cs="Times New Roman"/>
          <w:sz w:val="24"/>
          <w:szCs w:val="24"/>
        </w:rPr>
        <w:t>Like Schreiner, Beale emphasizes unity with little regard to diversity</w:t>
      </w:r>
      <w:r w:rsidR="00454A0F" w:rsidRPr="004D7192">
        <w:rPr>
          <w:rFonts w:ascii="Times New Roman" w:hAnsi="Times New Roman" w:cs="Times New Roman"/>
          <w:sz w:val="24"/>
          <w:szCs w:val="24"/>
        </w:rPr>
        <w:t>. In his work, he presents the theology of the NT in relation to the OT</w:t>
      </w:r>
      <w:r w:rsidR="005B298C" w:rsidRPr="004D7192">
        <w:rPr>
          <w:rFonts w:ascii="Times New Roman" w:hAnsi="Times New Roman" w:cs="Times New Roman"/>
          <w:sz w:val="24"/>
          <w:szCs w:val="24"/>
        </w:rPr>
        <w:t xml:space="preserve">; </w:t>
      </w:r>
      <w:r w:rsidR="00454A0F" w:rsidRPr="004D7192">
        <w:rPr>
          <w:rFonts w:ascii="Times New Roman" w:hAnsi="Times New Roman" w:cs="Times New Roman"/>
          <w:sz w:val="24"/>
          <w:szCs w:val="24"/>
        </w:rPr>
        <w:t xml:space="preserve">primarily </w:t>
      </w:r>
      <w:r w:rsidR="005B298C" w:rsidRPr="004D7192">
        <w:rPr>
          <w:rFonts w:ascii="Times New Roman" w:hAnsi="Times New Roman" w:cs="Times New Roman"/>
          <w:sz w:val="24"/>
          <w:szCs w:val="24"/>
        </w:rPr>
        <w:t>the work focuses</w:t>
      </w:r>
      <w:r w:rsidR="00454A0F" w:rsidRPr="004D7192">
        <w:rPr>
          <w:rFonts w:ascii="Times New Roman" w:hAnsi="Times New Roman" w:cs="Times New Roman"/>
          <w:sz w:val="24"/>
          <w:szCs w:val="24"/>
        </w:rPr>
        <w:t xml:space="preserve"> on the NT</w:t>
      </w:r>
      <w:r w:rsidR="005B298C" w:rsidRPr="004D7192">
        <w:rPr>
          <w:rFonts w:ascii="Times New Roman" w:hAnsi="Times New Roman" w:cs="Times New Roman"/>
          <w:sz w:val="24"/>
          <w:szCs w:val="24"/>
        </w:rPr>
        <w:t xml:space="preserve"> but it</w:t>
      </w:r>
      <w:r w:rsidR="00454A0F" w:rsidRPr="004D7192">
        <w:rPr>
          <w:rFonts w:ascii="Times New Roman" w:hAnsi="Times New Roman" w:cs="Times New Roman"/>
          <w:sz w:val="24"/>
          <w:szCs w:val="24"/>
        </w:rPr>
        <w:t xml:space="preserve"> is essentially a whole-Bible biblical theology.</w:t>
      </w:r>
      <w:r w:rsidR="00843042" w:rsidRPr="004D7192">
        <w:rPr>
          <w:rFonts w:ascii="Times New Roman" w:hAnsi="Times New Roman" w:cs="Times New Roman"/>
          <w:sz w:val="24"/>
          <w:szCs w:val="24"/>
        </w:rPr>
        <w:t xml:space="preserve"> He uses narrative and intertextual approach.</w:t>
      </w:r>
      <w:r w:rsidR="006C388B" w:rsidRPr="004D7192">
        <w:rPr>
          <w:rFonts w:ascii="Times New Roman" w:hAnsi="Times New Roman" w:cs="Times New Roman"/>
          <w:sz w:val="24"/>
          <w:szCs w:val="24"/>
        </w:rPr>
        <w:t xml:space="preserve"> The theological unity of the Bible, for him, is to be found in its storyline.</w:t>
      </w:r>
    </w:p>
    <w:p w:rsidR="00BF4977" w:rsidRPr="00575B75" w:rsidRDefault="00BF4977" w:rsidP="004D7192">
      <w:pPr>
        <w:autoSpaceDE w:val="0"/>
        <w:autoSpaceDN w:val="0"/>
        <w:adjustRightInd w:val="0"/>
        <w:spacing w:after="0" w:line="360" w:lineRule="auto"/>
        <w:jc w:val="both"/>
        <w:rPr>
          <w:rFonts w:ascii="Times New Roman" w:hAnsi="Times New Roman" w:cs="Times New Roman"/>
          <w:b/>
          <w:sz w:val="24"/>
          <w:szCs w:val="24"/>
        </w:rPr>
      </w:pPr>
      <w:r w:rsidRPr="00575B75">
        <w:rPr>
          <w:rFonts w:ascii="Times New Roman" w:hAnsi="Times New Roman" w:cs="Times New Roman"/>
          <w:b/>
          <w:sz w:val="24"/>
          <w:szCs w:val="24"/>
        </w:rPr>
        <w:t>Conclusion</w:t>
      </w:r>
    </w:p>
    <w:p w:rsidR="00783544" w:rsidRPr="0098194D" w:rsidRDefault="00BF4977" w:rsidP="0098194D">
      <w:pPr>
        <w:autoSpaceDE w:val="0"/>
        <w:autoSpaceDN w:val="0"/>
        <w:adjustRightInd w:val="0"/>
        <w:spacing w:after="0" w:line="360" w:lineRule="auto"/>
        <w:jc w:val="both"/>
        <w:rPr>
          <w:rFonts w:ascii="Times New Roman" w:hAnsi="Times New Roman" w:cs="Times New Roman"/>
          <w:sz w:val="24"/>
          <w:szCs w:val="24"/>
        </w:rPr>
      </w:pPr>
      <w:r w:rsidRPr="004D7192">
        <w:rPr>
          <w:rFonts w:ascii="Times New Roman" w:hAnsi="Times New Roman" w:cs="Times New Roman"/>
          <w:sz w:val="24"/>
          <w:szCs w:val="24"/>
        </w:rPr>
        <w:t xml:space="preserve">As regards </w:t>
      </w:r>
      <w:r w:rsidR="00236DC7" w:rsidRPr="004D7192">
        <w:rPr>
          <w:rFonts w:ascii="Times New Roman" w:hAnsi="Times New Roman" w:cs="Times New Roman"/>
          <w:sz w:val="24"/>
          <w:szCs w:val="24"/>
        </w:rPr>
        <w:t xml:space="preserve">the issue of </w:t>
      </w:r>
      <w:r w:rsidRPr="004D7192">
        <w:rPr>
          <w:rFonts w:ascii="Times New Roman" w:hAnsi="Times New Roman" w:cs="Times New Roman"/>
          <w:sz w:val="24"/>
          <w:szCs w:val="24"/>
        </w:rPr>
        <w:t>unity and diversity</w:t>
      </w:r>
      <w:r w:rsidR="00236DC7" w:rsidRPr="004D7192">
        <w:rPr>
          <w:rFonts w:ascii="Times New Roman" w:hAnsi="Times New Roman" w:cs="Times New Roman"/>
          <w:sz w:val="24"/>
          <w:szCs w:val="24"/>
        </w:rPr>
        <w:t xml:space="preserve"> in the study of NTT</w:t>
      </w:r>
      <w:r w:rsidR="00252ED7" w:rsidRPr="004D7192">
        <w:rPr>
          <w:rFonts w:ascii="Times New Roman" w:hAnsi="Times New Roman" w:cs="Times New Roman"/>
          <w:sz w:val="24"/>
          <w:szCs w:val="24"/>
        </w:rPr>
        <w:t>, Wendel observed that</w:t>
      </w:r>
      <w:r w:rsidR="00564703" w:rsidRPr="004D7192">
        <w:rPr>
          <w:rFonts w:ascii="Times New Roman" w:hAnsi="Times New Roman" w:cs="Times New Roman"/>
          <w:sz w:val="24"/>
          <w:szCs w:val="24"/>
        </w:rPr>
        <w:t xml:space="preserve"> scholars who ignore historical settings and dulled the unique contributions of the individual NT authors do not deal adequately with the NT’s theological diversity.</w:t>
      </w:r>
      <w:r w:rsidR="00AA04DB" w:rsidRPr="004D7192">
        <w:rPr>
          <w:rFonts w:ascii="Times New Roman" w:hAnsi="Times New Roman" w:cs="Times New Roman"/>
          <w:sz w:val="24"/>
          <w:szCs w:val="24"/>
        </w:rPr>
        <w:t xml:space="preserve"> He is of the opinion that both the unity and diversity should be upheld without overemphasizing one or the other.</w:t>
      </w:r>
      <w:r w:rsidR="005236B1" w:rsidRPr="004D7192">
        <w:rPr>
          <w:rFonts w:ascii="Times New Roman" w:hAnsi="Times New Roman" w:cs="Times New Roman"/>
          <w:sz w:val="24"/>
          <w:szCs w:val="24"/>
        </w:rPr>
        <w:t xml:space="preserve"> </w:t>
      </w:r>
      <w:r w:rsidR="00560AAE" w:rsidRPr="004D7192">
        <w:rPr>
          <w:rFonts w:ascii="Times New Roman" w:hAnsi="Times New Roman" w:cs="Times New Roman"/>
          <w:sz w:val="24"/>
          <w:szCs w:val="24"/>
        </w:rPr>
        <w:t>Evaluating the recent works on NTT, Wendel pointed out the strengths and weaknesses of the authors based on their approaches to NTT, exegesis and theology,</w:t>
      </w:r>
      <w:r w:rsidR="00744709" w:rsidRPr="004D7192">
        <w:rPr>
          <w:rFonts w:ascii="Times New Roman" w:hAnsi="Times New Roman" w:cs="Times New Roman"/>
          <w:sz w:val="24"/>
          <w:szCs w:val="24"/>
        </w:rPr>
        <w:t xml:space="preserve"> history and theology,</w:t>
      </w:r>
      <w:r w:rsidR="00F35521">
        <w:rPr>
          <w:rFonts w:ascii="Times New Roman" w:hAnsi="Times New Roman" w:cs="Times New Roman"/>
          <w:sz w:val="24"/>
          <w:szCs w:val="24"/>
        </w:rPr>
        <w:t xml:space="preserve"> inclu</w:t>
      </w:r>
      <w:r w:rsidR="00744709" w:rsidRPr="004D7192">
        <w:rPr>
          <w:rFonts w:ascii="Times New Roman" w:hAnsi="Times New Roman" w:cs="Times New Roman"/>
          <w:sz w:val="24"/>
          <w:szCs w:val="24"/>
        </w:rPr>
        <w:t>d</w:t>
      </w:r>
      <w:r w:rsidR="00F35521">
        <w:rPr>
          <w:rFonts w:ascii="Times New Roman" w:hAnsi="Times New Roman" w:cs="Times New Roman"/>
          <w:sz w:val="24"/>
          <w:szCs w:val="24"/>
        </w:rPr>
        <w:t>ing</w:t>
      </w:r>
      <w:r w:rsidR="00744709" w:rsidRPr="004D7192">
        <w:rPr>
          <w:rFonts w:ascii="Times New Roman" w:hAnsi="Times New Roman" w:cs="Times New Roman"/>
          <w:sz w:val="24"/>
          <w:szCs w:val="24"/>
        </w:rPr>
        <w:t xml:space="preserve"> narrative and theology.</w:t>
      </w:r>
      <w:r w:rsidR="00560AAE" w:rsidRPr="004D7192">
        <w:rPr>
          <w:rFonts w:ascii="Times New Roman" w:hAnsi="Times New Roman" w:cs="Times New Roman"/>
          <w:sz w:val="24"/>
          <w:szCs w:val="24"/>
        </w:rPr>
        <w:t xml:space="preserve"> </w:t>
      </w:r>
      <w:r w:rsidR="00B3433E" w:rsidRPr="004D7192">
        <w:rPr>
          <w:rFonts w:ascii="Times New Roman" w:hAnsi="Times New Roman" w:cs="Times New Roman"/>
          <w:sz w:val="24"/>
          <w:szCs w:val="24"/>
        </w:rPr>
        <w:t>Among the works examined in his article, Wendel</w:t>
      </w:r>
      <w:r w:rsidR="005236B1" w:rsidRPr="004D7192">
        <w:rPr>
          <w:rFonts w:ascii="Times New Roman" w:hAnsi="Times New Roman" w:cs="Times New Roman"/>
          <w:sz w:val="24"/>
          <w:szCs w:val="24"/>
        </w:rPr>
        <w:t xml:space="preserve"> commended Marshall’s approach for </w:t>
      </w:r>
      <w:r w:rsidR="005D7848" w:rsidRPr="004D7192">
        <w:rPr>
          <w:rFonts w:ascii="Times New Roman" w:hAnsi="Times New Roman" w:cs="Times New Roman"/>
          <w:sz w:val="24"/>
          <w:szCs w:val="24"/>
        </w:rPr>
        <w:t>paying attention to</w:t>
      </w:r>
      <w:r w:rsidR="005236B1" w:rsidRPr="004D7192">
        <w:rPr>
          <w:rFonts w:ascii="Times New Roman" w:hAnsi="Times New Roman" w:cs="Times New Roman"/>
          <w:sz w:val="24"/>
          <w:szCs w:val="24"/>
        </w:rPr>
        <w:t xml:space="preserve"> the unique voices of the various NT authors while at the same time demonstrating the unity found in the NT’s theological coherence.</w:t>
      </w:r>
      <w:r w:rsidR="006C0854" w:rsidRPr="004D7192">
        <w:rPr>
          <w:rFonts w:ascii="Times New Roman" w:hAnsi="Times New Roman" w:cs="Times New Roman"/>
          <w:sz w:val="24"/>
          <w:szCs w:val="24"/>
        </w:rPr>
        <w:t xml:space="preserve"> </w:t>
      </w:r>
      <w:r w:rsidR="0070390E">
        <w:rPr>
          <w:rFonts w:ascii="Times New Roman" w:hAnsi="Times New Roman" w:cs="Times New Roman"/>
          <w:sz w:val="24"/>
          <w:szCs w:val="24"/>
        </w:rPr>
        <w:t>As a way forward, h</w:t>
      </w:r>
      <w:r w:rsidR="0070390E" w:rsidRPr="00347122">
        <w:rPr>
          <w:rFonts w:ascii="Times New Roman" w:hAnsi="Times New Roman" w:cs="Times New Roman"/>
          <w:sz w:val="24"/>
          <w:szCs w:val="24"/>
        </w:rPr>
        <w:t xml:space="preserve">e opines that future studies should begin with </w:t>
      </w:r>
      <w:r w:rsidR="00A730E7">
        <w:rPr>
          <w:rFonts w:ascii="Times New Roman" w:hAnsi="Times New Roman" w:cs="Times New Roman"/>
          <w:sz w:val="24"/>
          <w:szCs w:val="24"/>
        </w:rPr>
        <w:t xml:space="preserve">a </w:t>
      </w:r>
      <w:r w:rsidR="00A730E7" w:rsidRPr="00347122">
        <w:rPr>
          <w:rFonts w:ascii="Times New Roman" w:hAnsi="Times New Roman" w:cs="Times New Roman"/>
          <w:sz w:val="24"/>
          <w:szCs w:val="24"/>
        </w:rPr>
        <w:t xml:space="preserve">historically grounded </w:t>
      </w:r>
      <w:r w:rsidR="00A730E7">
        <w:rPr>
          <w:rFonts w:ascii="Times New Roman" w:hAnsi="Times New Roman" w:cs="Times New Roman"/>
          <w:sz w:val="24"/>
          <w:szCs w:val="24"/>
        </w:rPr>
        <w:t>exegetical work</w:t>
      </w:r>
      <w:r w:rsidR="0070390E" w:rsidRPr="00347122">
        <w:rPr>
          <w:rFonts w:ascii="Times New Roman" w:hAnsi="Times New Roman" w:cs="Times New Roman"/>
          <w:sz w:val="24"/>
          <w:szCs w:val="24"/>
        </w:rPr>
        <w:t xml:space="preserve"> that gives attention to the unique contribution of each NT </w:t>
      </w:r>
      <w:r w:rsidR="00A730E7">
        <w:rPr>
          <w:rFonts w:ascii="Times New Roman" w:hAnsi="Times New Roman" w:cs="Times New Roman"/>
          <w:sz w:val="24"/>
          <w:szCs w:val="24"/>
        </w:rPr>
        <w:t>document,</w:t>
      </w:r>
      <w:r w:rsidR="0070390E" w:rsidRPr="00347122">
        <w:rPr>
          <w:rFonts w:ascii="Times New Roman" w:hAnsi="Times New Roman" w:cs="Times New Roman"/>
          <w:sz w:val="24"/>
          <w:szCs w:val="24"/>
        </w:rPr>
        <w:t xml:space="preserve"> while taking into account the canonical context of each NT book</w:t>
      </w:r>
      <w:r w:rsidR="004F717B">
        <w:rPr>
          <w:rFonts w:ascii="Times New Roman" w:hAnsi="Times New Roman" w:cs="Times New Roman"/>
          <w:sz w:val="24"/>
          <w:szCs w:val="24"/>
        </w:rPr>
        <w:t>. It should also pay</w:t>
      </w:r>
      <w:r w:rsidR="0070390E" w:rsidRPr="00347122">
        <w:rPr>
          <w:rFonts w:ascii="Times New Roman" w:hAnsi="Times New Roman" w:cs="Times New Roman"/>
          <w:sz w:val="24"/>
          <w:szCs w:val="24"/>
        </w:rPr>
        <w:t xml:space="preserve"> careful attention to the use of the O</w:t>
      </w:r>
      <w:r w:rsidR="006C176E">
        <w:rPr>
          <w:rFonts w:ascii="Times New Roman" w:hAnsi="Times New Roman" w:cs="Times New Roman"/>
          <w:sz w:val="24"/>
          <w:szCs w:val="24"/>
        </w:rPr>
        <w:t xml:space="preserve">ld </w:t>
      </w:r>
      <w:r w:rsidR="0070390E" w:rsidRPr="00347122">
        <w:rPr>
          <w:rFonts w:ascii="Times New Roman" w:hAnsi="Times New Roman" w:cs="Times New Roman"/>
          <w:sz w:val="24"/>
          <w:szCs w:val="24"/>
        </w:rPr>
        <w:t>T</w:t>
      </w:r>
      <w:r w:rsidR="006C176E">
        <w:rPr>
          <w:rFonts w:ascii="Times New Roman" w:hAnsi="Times New Roman" w:cs="Times New Roman"/>
          <w:sz w:val="24"/>
          <w:szCs w:val="24"/>
        </w:rPr>
        <w:t>estament</w:t>
      </w:r>
      <w:r w:rsidR="0070390E" w:rsidRPr="00347122">
        <w:rPr>
          <w:rFonts w:ascii="Times New Roman" w:hAnsi="Times New Roman" w:cs="Times New Roman"/>
          <w:sz w:val="24"/>
          <w:szCs w:val="24"/>
        </w:rPr>
        <w:t xml:space="preserve"> in the NT.</w:t>
      </w:r>
      <w:r w:rsidR="0070390E">
        <w:rPr>
          <w:rFonts w:ascii="Times New Roman" w:hAnsi="Times New Roman" w:cs="Times New Roman"/>
          <w:sz w:val="24"/>
          <w:szCs w:val="24"/>
        </w:rPr>
        <w:t xml:space="preserve"> </w:t>
      </w:r>
      <w:r w:rsidR="006C176E">
        <w:rPr>
          <w:rFonts w:ascii="Times New Roman" w:hAnsi="Times New Roman" w:cs="Times New Roman"/>
          <w:sz w:val="24"/>
          <w:szCs w:val="24"/>
        </w:rPr>
        <w:t>Moreover,</w:t>
      </w:r>
      <w:r w:rsidR="006C0854" w:rsidRPr="004D7192">
        <w:rPr>
          <w:rFonts w:ascii="Times New Roman" w:hAnsi="Times New Roman" w:cs="Times New Roman"/>
          <w:sz w:val="24"/>
          <w:szCs w:val="24"/>
        </w:rPr>
        <w:t xml:space="preserve"> future NTTs need to be able to demonstrate the unity of the NT through accurate exegetical work that does not blunt its diversity, and be able to find its theological cohesiveness in its broad storyline. This, for him, would benefit the academy and also the church.</w:t>
      </w:r>
    </w:p>
    <w:sectPr w:rsidR="00783544" w:rsidRPr="0098194D" w:rsidSect="003323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787" w:rsidRDefault="004A1787" w:rsidP="00023E38">
      <w:pPr>
        <w:spacing w:after="0" w:line="240" w:lineRule="auto"/>
      </w:pPr>
      <w:r>
        <w:separator/>
      </w:r>
    </w:p>
  </w:endnote>
  <w:endnote w:type="continuationSeparator" w:id="1">
    <w:p w:rsidR="004A1787" w:rsidRDefault="004A1787" w:rsidP="00023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doni-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787" w:rsidRDefault="004A1787" w:rsidP="00023E38">
      <w:pPr>
        <w:spacing w:after="0" w:line="240" w:lineRule="auto"/>
      </w:pPr>
      <w:r>
        <w:separator/>
      </w:r>
    </w:p>
  </w:footnote>
  <w:footnote w:type="continuationSeparator" w:id="1">
    <w:p w:rsidR="004A1787" w:rsidRDefault="004A1787" w:rsidP="00023E38">
      <w:pPr>
        <w:spacing w:after="0" w:line="240" w:lineRule="auto"/>
      </w:pPr>
      <w:r>
        <w:continuationSeparator/>
      </w:r>
    </w:p>
  </w:footnote>
  <w:footnote w:id="2">
    <w:p w:rsidR="00023E38" w:rsidRPr="00105598" w:rsidRDefault="00023E38" w:rsidP="00105598">
      <w:pPr>
        <w:autoSpaceDE w:val="0"/>
        <w:autoSpaceDN w:val="0"/>
        <w:adjustRightInd w:val="0"/>
        <w:spacing w:after="0" w:line="240" w:lineRule="auto"/>
        <w:rPr>
          <w:rFonts w:ascii="Bodoni-Regular" w:hAnsi="Bodoni-Regular" w:cs="Bodoni-Regular"/>
          <w:sz w:val="20"/>
          <w:szCs w:val="20"/>
        </w:rPr>
      </w:pPr>
      <w:r>
        <w:rPr>
          <w:rStyle w:val="FootnoteReference"/>
        </w:rPr>
        <w:footnoteRef/>
      </w:r>
      <w:r>
        <w:t xml:space="preserve"> </w:t>
      </w:r>
      <w:r w:rsidR="005F3243">
        <w:rPr>
          <w:rFonts w:ascii="Times New Roman" w:hAnsi="Times New Roman" w:cs="Times New Roman"/>
          <w:sz w:val="20"/>
          <w:szCs w:val="20"/>
        </w:rPr>
        <w:t xml:space="preserve">Cf. </w:t>
      </w:r>
      <w:r w:rsidRPr="001761DA">
        <w:rPr>
          <w:rFonts w:ascii="Times New Roman" w:hAnsi="Times New Roman" w:cs="Times New Roman"/>
          <w:sz w:val="20"/>
          <w:szCs w:val="20"/>
        </w:rPr>
        <w:t xml:space="preserve">Stephen E. Fowl, </w:t>
      </w:r>
      <w:r w:rsidRPr="001761DA">
        <w:rPr>
          <w:rFonts w:ascii="Times New Roman" w:hAnsi="Times New Roman" w:cs="Times New Roman"/>
          <w:i/>
          <w:iCs/>
          <w:sz w:val="20"/>
          <w:szCs w:val="20"/>
        </w:rPr>
        <w:t xml:space="preserve">Engaging Scripture: A Model for Theological Interpretation </w:t>
      </w:r>
      <w:r w:rsidRPr="001761DA">
        <w:rPr>
          <w:rFonts w:ascii="Times New Roman" w:hAnsi="Times New Roman" w:cs="Times New Roman"/>
          <w:sz w:val="20"/>
          <w:szCs w:val="20"/>
        </w:rPr>
        <w:t xml:space="preserve">(Oxford: Blackwell, 1998); R. R. Reno, gen. ed., </w:t>
      </w:r>
      <w:r w:rsidRPr="001761DA">
        <w:rPr>
          <w:rFonts w:ascii="Times New Roman" w:hAnsi="Times New Roman" w:cs="Times New Roman"/>
          <w:i/>
          <w:iCs/>
          <w:sz w:val="20"/>
          <w:szCs w:val="20"/>
        </w:rPr>
        <w:t>Brazos Theological Commentary on the Bible</w:t>
      </w:r>
      <w:r w:rsidRPr="001761DA">
        <w:rPr>
          <w:rFonts w:ascii="Times New Roman" w:hAnsi="Times New Roman" w:cs="Times New Roman"/>
          <w:sz w:val="20"/>
          <w:szCs w:val="20"/>
        </w:rPr>
        <w:t>, 20 vols. to date (Grand Rapids, Mich.: Brazos Press, 2005</w:t>
      </w:r>
      <w:r w:rsidR="00A40AA2">
        <w:rPr>
          <w:rFonts w:ascii="Times New Roman" w:hAnsi="Times New Roman" w:cs="Times New Roman"/>
        </w:rPr>
        <w:t>-</w:t>
      </w:r>
      <w:r w:rsidR="00731EB0">
        <w:rPr>
          <w:rFonts w:ascii="Times New Roman" w:hAnsi="Times New Roman" w:cs="Times New Roman"/>
        </w:rPr>
        <w:t xml:space="preserve">) et al. as cited in Wendel Sun, </w:t>
      </w:r>
      <w:r w:rsidR="00731EB0" w:rsidRPr="00731EB0">
        <w:rPr>
          <w:rFonts w:ascii="Times New Roman" w:hAnsi="Times New Roman" w:cs="Times New Roman"/>
          <w:bCs/>
          <w:i/>
          <w:sz w:val="20"/>
          <w:szCs w:val="20"/>
        </w:rPr>
        <w:t>Unity and/or/in Diversity? A Survey of Recent New Testament Theologies</w:t>
      </w:r>
      <w:r w:rsidR="00731EB0">
        <w:rPr>
          <w:rFonts w:ascii="Times New Roman" w:hAnsi="Times New Roman" w:cs="Times New Roman"/>
          <w:bCs/>
          <w:sz w:val="20"/>
          <w:szCs w:val="20"/>
        </w:rPr>
        <w:t>.</w:t>
      </w:r>
    </w:p>
  </w:footnote>
  <w:footnote w:id="3">
    <w:p w:rsidR="00E91D53" w:rsidRDefault="00E91D53">
      <w:pPr>
        <w:pStyle w:val="FootnoteText"/>
      </w:pPr>
      <w:r>
        <w:rPr>
          <w:rStyle w:val="FootnoteReference"/>
        </w:rPr>
        <w:footnoteRef/>
      </w:r>
      <w:r>
        <w:t xml:space="preserve"> </w:t>
      </w:r>
      <w:r w:rsidRPr="004C2FC8">
        <w:rPr>
          <w:rFonts w:ascii="Times New Roman" w:hAnsi="Times New Roman" w:cs="Times New Roman"/>
        </w:rPr>
        <w:t xml:space="preserve">I. Howard Marshall, </w:t>
      </w:r>
      <w:r w:rsidRPr="004C2FC8">
        <w:rPr>
          <w:rFonts w:ascii="Times New Roman" w:hAnsi="Times New Roman" w:cs="Times New Roman"/>
          <w:i/>
          <w:iCs/>
        </w:rPr>
        <w:t xml:space="preserve">New Testament Theology: Many Witnesses, One Gospel </w:t>
      </w:r>
      <w:r w:rsidRPr="004C2FC8">
        <w:rPr>
          <w:rFonts w:ascii="Times New Roman" w:hAnsi="Times New Roman" w:cs="Times New Roman"/>
        </w:rPr>
        <w:t>(Downers Grove, Ill.: InterVarsity Press, 2004), 707.</w:t>
      </w:r>
      <w:r>
        <w:rPr>
          <w:rFonts w:ascii="Times New Roman" w:hAnsi="Times New Roman" w:cs="Times New Roman"/>
        </w:rPr>
        <w:t xml:space="preserve"> As cited in Wendel.</w:t>
      </w:r>
    </w:p>
  </w:footnote>
  <w:footnote w:id="4">
    <w:p w:rsidR="0094538F" w:rsidRPr="0094538F" w:rsidRDefault="0094538F" w:rsidP="0094538F">
      <w:pPr>
        <w:autoSpaceDE w:val="0"/>
        <w:autoSpaceDN w:val="0"/>
        <w:adjustRightInd w:val="0"/>
        <w:spacing w:after="0" w:line="240" w:lineRule="auto"/>
        <w:rPr>
          <w:rFonts w:ascii="Times New Roman" w:hAnsi="Times New Roman" w:cs="Times New Roman"/>
          <w:i/>
          <w:iCs/>
          <w:sz w:val="20"/>
          <w:szCs w:val="20"/>
        </w:rPr>
      </w:pPr>
      <w:r>
        <w:rPr>
          <w:rStyle w:val="FootnoteReference"/>
        </w:rPr>
        <w:footnoteRef/>
      </w:r>
      <w:r w:rsidRPr="00C23CF8">
        <w:rPr>
          <w:rFonts w:ascii="Times New Roman" w:hAnsi="Times New Roman" w:cs="Times New Roman"/>
          <w:sz w:val="20"/>
          <w:szCs w:val="20"/>
        </w:rPr>
        <w:t xml:space="preserve">Frank Thielman, </w:t>
      </w:r>
      <w:r w:rsidRPr="00C23CF8">
        <w:rPr>
          <w:rFonts w:ascii="Times New Roman" w:hAnsi="Times New Roman" w:cs="Times New Roman"/>
          <w:i/>
          <w:iCs/>
          <w:sz w:val="20"/>
          <w:szCs w:val="20"/>
        </w:rPr>
        <w:t xml:space="preserve">Theology of the New Testament: A Canonical and Synthetic Approach </w:t>
      </w:r>
      <w:r w:rsidRPr="00C23CF8">
        <w:rPr>
          <w:rFonts w:ascii="Times New Roman" w:hAnsi="Times New Roman" w:cs="Times New Roman"/>
          <w:sz w:val="20"/>
          <w:szCs w:val="20"/>
        </w:rPr>
        <w:t>(Grand Rapids, Mich.: Zondervan, 2005), 42.</w:t>
      </w:r>
      <w:r>
        <w:rPr>
          <w:rFonts w:ascii="Times New Roman" w:hAnsi="Times New Roman" w:cs="Times New Roman"/>
          <w:sz w:val="20"/>
          <w:szCs w:val="20"/>
        </w:rPr>
        <w:t xml:space="preserve"> As cited in Wendel.</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832D1"/>
    <w:rsid w:val="00017428"/>
    <w:rsid w:val="00023E38"/>
    <w:rsid w:val="00065CE8"/>
    <w:rsid w:val="00065EF2"/>
    <w:rsid w:val="000D0AED"/>
    <w:rsid w:val="00105598"/>
    <w:rsid w:val="00173D7C"/>
    <w:rsid w:val="001B0663"/>
    <w:rsid w:val="00236DC7"/>
    <w:rsid w:val="002523BA"/>
    <w:rsid w:val="00252ED7"/>
    <w:rsid w:val="00305688"/>
    <w:rsid w:val="0031268F"/>
    <w:rsid w:val="003323E8"/>
    <w:rsid w:val="003410E3"/>
    <w:rsid w:val="003D4CD4"/>
    <w:rsid w:val="003E7088"/>
    <w:rsid w:val="004125FE"/>
    <w:rsid w:val="0045337E"/>
    <w:rsid w:val="00454A0F"/>
    <w:rsid w:val="0049769F"/>
    <w:rsid w:val="004A1787"/>
    <w:rsid w:val="004B73B8"/>
    <w:rsid w:val="004D7192"/>
    <w:rsid w:val="004F717B"/>
    <w:rsid w:val="005236B1"/>
    <w:rsid w:val="00536387"/>
    <w:rsid w:val="00560AAE"/>
    <w:rsid w:val="00564703"/>
    <w:rsid w:val="00573F23"/>
    <w:rsid w:val="00575B75"/>
    <w:rsid w:val="00597685"/>
    <w:rsid w:val="005B298C"/>
    <w:rsid w:val="005D7848"/>
    <w:rsid w:val="005F3243"/>
    <w:rsid w:val="00602DFE"/>
    <w:rsid w:val="006645F3"/>
    <w:rsid w:val="006C0854"/>
    <w:rsid w:val="006C176E"/>
    <w:rsid w:val="006C388B"/>
    <w:rsid w:val="0070390E"/>
    <w:rsid w:val="007317D1"/>
    <w:rsid w:val="00731EB0"/>
    <w:rsid w:val="00744709"/>
    <w:rsid w:val="00752803"/>
    <w:rsid w:val="00755C94"/>
    <w:rsid w:val="007832D1"/>
    <w:rsid w:val="00783544"/>
    <w:rsid w:val="007E205C"/>
    <w:rsid w:val="007E62AC"/>
    <w:rsid w:val="00843042"/>
    <w:rsid w:val="0094538F"/>
    <w:rsid w:val="0098194D"/>
    <w:rsid w:val="0098751E"/>
    <w:rsid w:val="00A272EB"/>
    <w:rsid w:val="00A40AA2"/>
    <w:rsid w:val="00A730E7"/>
    <w:rsid w:val="00A74035"/>
    <w:rsid w:val="00A820A0"/>
    <w:rsid w:val="00AA04DB"/>
    <w:rsid w:val="00AE13AA"/>
    <w:rsid w:val="00B3433E"/>
    <w:rsid w:val="00B43A34"/>
    <w:rsid w:val="00B81732"/>
    <w:rsid w:val="00BA766B"/>
    <w:rsid w:val="00BF4977"/>
    <w:rsid w:val="00C073EA"/>
    <w:rsid w:val="00C435FB"/>
    <w:rsid w:val="00C97852"/>
    <w:rsid w:val="00CA7487"/>
    <w:rsid w:val="00CB7DF8"/>
    <w:rsid w:val="00D021E6"/>
    <w:rsid w:val="00D5221F"/>
    <w:rsid w:val="00E03F55"/>
    <w:rsid w:val="00E33125"/>
    <w:rsid w:val="00E91D53"/>
    <w:rsid w:val="00EF506B"/>
    <w:rsid w:val="00F24F71"/>
    <w:rsid w:val="00F35521"/>
    <w:rsid w:val="00F610E5"/>
    <w:rsid w:val="00F664C9"/>
    <w:rsid w:val="00FB26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3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32D1"/>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23E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3E38"/>
    <w:rPr>
      <w:sz w:val="20"/>
      <w:szCs w:val="20"/>
    </w:rPr>
  </w:style>
  <w:style w:type="character" w:styleId="FootnoteReference">
    <w:name w:val="footnote reference"/>
    <w:basedOn w:val="DefaultParagraphFont"/>
    <w:uiPriority w:val="99"/>
    <w:semiHidden/>
    <w:unhideWhenUsed/>
    <w:rsid w:val="00023E38"/>
    <w:rPr>
      <w:vertAlign w:val="superscript"/>
    </w:rPr>
  </w:style>
  <w:style w:type="paragraph" w:styleId="ListParagraph">
    <w:name w:val="List Paragraph"/>
    <w:basedOn w:val="Normal"/>
    <w:uiPriority w:val="34"/>
    <w:qFormat/>
    <w:rsid w:val="00A820A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69</cp:revision>
  <dcterms:created xsi:type="dcterms:W3CDTF">2020-11-24T08:26:00Z</dcterms:created>
  <dcterms:modified xsi:type="dcterms:W3CDTF">2020-11-25T21:21:00Z</dcterms:modified>
</cp:coreProperties>
</file>