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72A" w:rsidRDefault="00B521C6">
      <w:pPr>
        <w:rPr>
          <w:rFonts w:ascii="Times New Roman" w:hAnsi="Times New Roman" w:cs="Times New Roman"/>
          <w:sz w:val="24"/>
          <w:szCs w:val="24"/>
        </w:rPr>
      </w:pPr>
      <w:r>
        <w:rPr>
          <w:rFonts w:ascii="Times New Roman" w:hAnsi="Times New Roman" w:cs="Times New Roman"/>
          <w:sz w:val="24"/>
          <w:szCs w:val="24"/>
        </w:rPr>
        <w:t>Matric no: DI/TH/758</w:t>
      </w:r>
    </w:p>
    <w:p w:rsidR="00B521C6" w:rsidRDefault="00B521C6">
      <w:pPr>
        <w:rPr>
          <w:rFonts w:ascii="Times New Roman" w:hAnsi="Times New Roman" w:cs="Times New Roman"/>
          <w:sz w:val="24"/>
          <w:szCs w:val="24"/>
        </w:rPr>
      </w:pPr>
      <w:r>
        <w:rPr>
          <w:rFonts w:ascii="Times New Roman" w:hAnsi="Times New Roman" w:cs="Times New Roman"/>
          <w:sz w:val="24"/>
          <w:szCs w:val="24"/>
        </w:rPr>
        <w:t>Course: New Testament Theology</w:t>
      </w:r>
    </w:p>
    <w:p w:rsidR="00B521C6" w:rsidRDefault="00B521C6" w:rsidP="00B521C6">
      <w:pPr>
        <w:jc w:val="center"/>
        <w:rPr>
          <w:rFonts w:ascii="Times New Roman" w:hAnsi="Times New Roman" w:cs="Times New Roman"/>
          <w:b/>
          <w:sz w:val="24"/>
          <w:szCs w:val="24"/>
        </w:rPr>
      </w:pPr>
      <w:r w:rsidRPr="00B521C6">
        <w:rPr>
          <w:rFonts w:ascii="Times New Roman" w:hAnsi="Times New Roman" w:cs="Times New Roman"/>
          <w:b/>
          <w:sz w:val="24"/>
          <w:szCs w:val="24"/>
        </w:rPr>
        <w:t>Summary on the unity in diversity a survey of recent new Testament theologies by Wendel Sun</w:t>
      </w:r>
    </w:p>
    <w:p w:rsidR="00B521C6" w:rsidRDefault="00B521C6" w:rsidP="00B521C6">
      <w:pPr>
        <w:rPr>
          <w:rFonts w:ascii="Times New Roman" w:hAnsi="Times New Roman" w:cs="Times New Roman"/>
          <w:b/>
          <w:sz w:val="24"/>
          <w:szCs w:val="24"/>
        </w:rPr>
      </w:pPr>
      <w:r>
        <w:rPr>
          <w:rFonts w:ascii="Times New Roman" w:hAnsi="Times New Roman" w:cs="Times New Roman"/>
          <w:b/>
          <w:sz w:val="24"/>
          <w:szCs w:val="24"/>
        </w:rPr>
        <w:t>Preamble</w:t>
      </w:r>
    </w:p>
    <w:p w:rsidR="00B521C6" w:rsidRDefault="00B521C6" w:rsidP="00B521C6">
      <w:pPr>
        <w:jc w:val="both"/>
        <w:rPr>
          <w:rFonts w:ascii="Times New Roman" w:hAnsi="Times New Roman" w:cs="Times New Roman"/>
          <w:sz w:val="24"/>
          <w:szCs w:val="24"/>
        </w:rPr>
      </w:pPr>
      <w:r>
        <w:rPr>
          <w:rFonts w:ascii="Times New Roman" w:hAnsi="Times New Roman" w:cs="Times New Roman"/>
          <w:b/>
          <w:sz w:val="24"/>
          <w:szCs w:val="24"/>
        </w:rPr>
        <w:tab/>
      </w:r>
      <w:r w:rsidRPr="00B521C6">
        <w:rPr>
          <w:rFonts w:ascii="Times New Roman" w:hAnsi="Times New Roman" w:cs="Times New Roman"/>
          <w:sz w:val="24"/>
          <w:szCs w:val="24"/>
        </w:rPr>
        <w:t xml:space="preserve">In </w:t>
      </w:r>
      <w:r>
        <w:rPr>
          <w:rFonts w:ascii="Times New Roman" w:hAnsi="Times New Roman" w:cs="Times New Roman"/>
          <w:sz w:val="24"/>
          <w:szCs w:val="24"/>
        </w:rPr>
        <w:t>r</w:t>
      </w:r>
      <w:r w:rsidRPr="00B521C6">
        <w:rPr>
          <w:rFonts w:ascii="Times New Roman" w:hAnsi="Times New Roman" w:cs="Times New Roman"/>
          <w:sz w:val="24"/>
          <w:szCs w:val="24"/>
        </w:rPr>
        <w:t>ecent years</w:t>
      </w:r>
      <w:r>
        <w:rPr>
          <w:rFonts w:ascii="Times New Roman" w:hAnsi="Times New Roman" w:cs="Times New Roman"/>
          <w:sz w:val="24"/>
          <w:szCs w:val="24"/>
        </w:rPr>
        <w:t>, we</w:t>
      </w:r>
      <w:r w:rsidRPr="00B521C6">
        <w:rPr>
          <w:rFonts w:ascii="Times New Roman" w:hAnsi="Times New Roman" w:cs="Times New Roman"/>
          <w:sz w:val="24"/>
          <w:szCs w:val="24"/>
        </w:rPr>
        <w:t xml:space="preserve"> have witnessed an unprecedented explosion in the publication of New Testament theologies. This is likely due to a number of factors, including the growth of interest in biblical theology that moves beyond the mere historical</w:t>
      </w:r>
      <w:r>
        <w:rPr>
          <w:rFonts w:ascii="Times New Roman" w:hAnsi="Times New Roman" w:cs="Times New Roman"/>
          <w:sz w:val="24"/>
          <w:szCs w:val="24"/>
        </w:rPr>
        <w:t xml:space="preserve"> </w:t>
      </w:r>
      <w:r w:rsidRPr="00B521C6">
        <w:rPr>
          <w:rFonts w:ascii="Times New Roman" w:hAnsi="Times New Roman" w:cs="Times New Roman"/>
          <w:sz w:val="24"/>
          <w:szCs w:val="24"/>
        </w:rPr>
        <w:t>grammatical investigation of the text and especially the surge of concern for the theological interpretation of Scripture. Whatever the exact cause, though, students of NTT can be grateful for the multitude of options now available to them.</w:t>
      </w:r>
    </w:p>
    <w:p w:rsidR="00106862" w:rsidRDefault="00106862" w:rsidP="00B521C6">
      <w:pPr>
        <w:jc w:val="both"/>
        <w:rPr>
          <w:rFonts w:ascii="Times New Roman" w:hAnsi="Times New Roman" w:cs="Times New Roman"/>
          <w:sz w:val="24"/>
          <w:szCs w:val="24"/>
        </w:rPr>
      </w:pPr>
      <w:r>
        <w:rPr>
          <w:rFonts w:ascii="Times New Roman" w:hAnsi="Times New Roman" w:cs="Times New Roman"/>
          <w:sz w:val="24"/>
          <w:szCs w:val="24"/>
        </w:rPr>
        <w:tab/>
      </w:r>
      <w:r w:rsidRPr="00106862">
        <w:rPr>
          <w:rFonts w:ascii="Times New Roman" w:hAnsi="Times New Roman" w:cs="Times New Roman"/>
          <w:sz w:val="24"/>
          <w:szCs w:val="24"/>
        </w:rPr>
        <w:t>While recent contributions have been diverse in style as well as approach, one common feature is their attention to the issue of the unity and diversity of the NT.</w:t>
      </w:r>
      <w:r>
        <w:rPr>
          <w:rFonts w:ascii="Times New Roman" w:hAnsi="Times New Roman" w:cs="Times New Roman"/>
          <w:sz w:val="24"/>
          <w:szCs w:val="24"/>
        </w:rPr>
        <w:t xml:space="preserve"> One of the</w:t>
      </w:r>
      <w:r w:rsidRPr="00106862">
        <w:rPr>
          <w:rFonts w:ascii="Times New Roman" w:hAnsi="Times New Roman" w:cs="Times New Roman"/>
          <w:sz w:val="24"/>
          <w:szCs w:val="24"/>
        </w:rPr>
        <w:t xml:space="preserve"> </w:t>
      </w:r>
      <w:r>
        <w:rPr>
          <w:rFonts w:ascii="Times New Roman" w:hAnsi="Times New Roman" w:cs="Times New Roman"/>
          <w:sz w:val="24"/>
          <w:szCs w:val="24"/>
        </w:rPr>
        <w:t>reason</w:t>
      </w:r>
      <w:r w:rsidRPr="00106862">
        <w:rPr>
          <w:rFonts w:ascii="Times New Roman" w:hAnsi="Times New Roman" w:cs="Times New Roman"/>
          <w:sz w:val="24"/>
          <w:szCs w:val="24"/>
        </w:rPr>
        <w:t xml:space="preserve"> of this article is to briefly survey some of the more important recent contributions to NTT, highlighting the ways in which th</w:t>
      </w:r>
      <w:r>
        <w:rPr>
          <w:rFonts w:ascii="Times New Roman" w:hAnsi="Times New Roman" w:cs="Times New Roman"/>
          <w:sz w:val="24"/>
          <w:szCs w:val="24"/>
        </w:rPr>
        <w:t>is issue can be</w:t>
      </w:r>
      <w:r w:rsidRPr="00106862">
        <w:rPr>
          <w:rFonts w:ascii="Times New Roman" w:hAnsi="Times New Roman" w:cs="Times New Roman"/>
          <w:sz w:val="24"/>
          <w:szCs w:val="24"/>
        </w:rPr>
        <w:t xml:space="preserve"> address.</w:t>
      </w:r>
    </w:p>
    <w:p w:rsidR="00DF44F2" w:rsidRDefault="00DF44F2" w:rsidP="00B521C6">
      <w:pPr>
        <w:jc w:val="both"/>
        <w:rPr>
          <w:rFonts w:ascii="Times New Roman" w:hAnsi="Times New Roman" w:cs="Times New Roman"/>
          <w:b/>
          <w:sz w:val="24"/>
          <w:szCs w:val="24"/>
        </w:rPr>
      </w:pPr>
      <w:r w:rsidRPr="00DF44F2">
        <w:rPr>
          <w:rFonts w:ascii="Times New Roman" w:hAnsi="Times New Roman" w:cs="Times New Roman"/>
          <w:b/>
          <w:sz w:val="24"/>
          <w:szCs w:val="24"/>
        </w:rPr>
        <w:t>Unity in diversity a survey of Recent New Testament Theologies</w:t>
      </w:r>
    </w:p>
    <w:p w:rsidR="00DF44F2" w:rsidRDefault="00DF44F2" w:rsidP="00B521C6">
      <w:pPr>
        <w:jc w:val="both"/>
        <w:rPr>
          <w:rFonts w:ascii="Times New Roman" w:hAnsi="Times New Roman" w:cs="Times New Roman"/>
          <w:sz w:val="24"/>
          <w:szCs w:val="24"/>
        </w:rPr>
      </w:pPr>
      <w:r>
        <w:rPr>
          <w:rFonts w:ascii="Times New Roman" w:hAnsi="Times New Roman" w:cs="Times New Roman"/>
          <w:b/>
          <w:sz w:val="24"/>
          <w:szCs w:val="24"/>
        </w:rPr>
        <w:tab/>
      </w:r>
      <w:r w:rsidRPr="00DF44F2">
        <w:rPr>
          <w:rFonts w:ascii="Times New Roman" w:hAnsi="Times New Roman" w:cs="Times New Roman"/>
          <w:sz w:val="24"/>
          <w:szCs w:val="24"/>
        </w:rPr>
        <w:t xml:space="preserve">While the field of NTT continues to grow with the publication of new titles, it has not been without critics. </w:t>
      </w:r>
      <w:r>
        <w:rPr>
          <w:rFonts w:ascii="Times New Roman" w:hAnsi="Times New Roman" w:cs="Times New Roman"/>
          <w:sz w:val="24"/>
          <w:szCs w:val="24"/>
        </w:rPr>
        <w:t>Take for instance</w:t>
      </w:r>
      <w:r w:rsidRPr="00DF44F2">
        <w:rPr>
          <w:rFonts w:ascii="Times New Roman" w:hAnsi="Times New Roman" w:cs="Times New Roman"/>
          <w:sz w:val="24"/>
          <w:szCs w:val="24"/>
        </w:rPr>
        <w:t xml:space="preserve">, </w:t>
      </w:r>
      <w:r w:rsidRPr="00DF44F2">
        <w:rPr>
          <w:rFonts w:ascii="Times New Roman" w:hAnsi="Times New Roman" w:cs="Times New Roman"/>
          <w:i/>
          <w:sz w:val="24"/>
          <w:szCs w:val="24"/>
        </w:rPr>
        <w:t>Heikki Räisänen</w:t>
      </w:r>
      <w:r w:rsidRPr="00DF44F2">
        <w:rPr>
          <w:rFonts w:ascii="Times New Roman" w:hAnsi="Times New Roman" w:cs="Times New Roman"/>
          <w:sz w:val="24"/>
          <w:szCs w:val="24"/>
        </w:rPr>
        <w:t xml:space="preserve"> has called on NT scholars to abandon theological issues, focusing instead on historical research into early Christian thought and critical reflection on the influence of the NT in modern society. Seeking to resurrect the historical approach championed by </w:t>
      </w:r>
      <w:r w:rsidRPr="00755B34">
        <w:rPr>
          <w:rFonts w:ascii="Times New Roman" w:hAnsi="Times New Roman" w:cs="Times New Roman"/>
          <w:i/>
          <w:sz w:val="24"/>
          <w:szCs w:val="24"/>
        </w:rPr>
        <w:t>William Wrede</w:t>
      </w:r>
      <w:r w:rsidRPr="00DF44F2">
        <w:rPr>
          <w:rFonts w:ascii="Times New Roman" w:hAnsi="Times New Roman" w:cs="Times New Roman"/>
          <w:sz w:val="24"/>
          <w:szCs w:val="24"/>
        </w:rPr>
        <w:t xml:space="preserve"> and others, </w:t>
      </w:r>
      <w:r w:rsidRPr="00755B34">
        <w:rPr>
          <w:rFonts w:ascii="Times New Roman" w:hAnsi="Times New Roman" w:cs="Times New Roman"/>
          <w:i/>
          <w:sz w:val="24"/>
          <w:szCs w:val="24"/>
        </w:rPr>
        <w:t>Räisänen</w:t>
      </w:r>
      <w:r w:rsidRPr="00DF44F2">
        <w:rPr>
          <w:rFonts w:ascii="Times New Roman" w:hAnsi="Times New Roman" w:cs="Times New Roman"/>
          <w:sz w:val="24"/>
          <w:szCs w:val="24"/>
        </w:rPr>
        <w:t xml:space="preserve"> holds that it was a “fatal mistake” for NT scholarship to move away from historical study and turn instead to theological concerns in the years following</w:t>
      </w:r>
      <w:r w:rsidR="00755B34">
        <w:rPr>
          <w:rFonts w:ascii="Times New Roman" w:hAnsi="Times New Roman" w:cs="Times New Roman"/>
          <w:sz w:val="24"/>
          <w:szCs w:val="24"/>
        </w:rPr>
        <w:t xml:space="preserve"> the first</w:t>
      </w:r>
      <w:r w:rsidRPr="00DF44F2">
        <w:rPr>
          <w:rFonts w:ascii="Times New Roman" w:hAnsi="Times New Roman" w:cs="Times New Roman"/>
          <w:sz w:val="24"/>
          <w:szCs w:val="24"/>
        </w:rPr>
        <w:t xml:space="preserve"> World War.</w:t>
      </w:r>
    </w:p>
    <w:p w:rsidR="00755B34" w:rsidRDefault="00755B34" w:rsidP="00755B34">
      <w:pPr>
        <w:jc w:val="both"/>
        <w:rPr>
          <w:rFonts w:ascii="Times New Roman" w:hAnsi="Times New Roman" w:cs="Times New Roman"/>
          <w:sz w:val="24"/>
          <w:szCs w:val="24"/>
        </w:rPr>
      </w:pPr>
      <w:r>
        <w:rPr>
          <w:rFonts w:ascii="Times New Roman" w:hAnsi="Times New Roman" w:cs="Times New Roman"/>
          <w:sz w:val="24"/>
          <w:szCs w:val="24"/>
        </w:rPr>
        <w:tab/>
      </w:r>
      <w:r w:rsidRPr="00755B34">
        <w:rPr>
          <w:rFonts w:ascii="Times New Roman" w:hAnsi="Times New Roman" w:cs="Times New Roman"/>
          <w:sz w:val="24"/>
          <w:szCs w:val="24"/>
        </w:rPr>
        <w:t xml:space="preserve">More recently, </w:t>
      </w:r>
      <w:r w:rsidRPr="00755B34">
        <w:rPr>
          <w:rFonts w:ascii="Times New Roman" w:hAnsi="Times New Roman" w:cs="Times New Roman"/>
          <w:i/>
          <w:sz w:val="24"/>
          <w:szCs w:val="24"/>
        </w:rPr>
        <w:t>Thomas Hatina</w:t>
      </w:r>
      <w:r w:rsidRPr="00755B34">
        <w:rPr>
          <w:rFonts w:ascii="Times New Roman" w:hAnsi="Times New Roman" w:cs="Times New Roman"/>
          <w:sz w:val="24"/>
          <w:szCs w:val="24"/>
        </w:rPr>
        <w:t xml:space="preserve"> has argued that the discipline of NTT must set aside the quest for normativity and focus on summarizing the diverse theological tenets of the NT’s authors. According to </w:t>
      </w:r>
      <w:r w:rsidRPr="00755B34">
        <w:rPr>
          <w:rFonts w:ascii="Times New Roman" w:hAnsi="Times New Roman" w:cs="Times New Roman"/>
          <w:i/>
          <w:sz w:val="24"/>
          <w:szCs w:val="24"/>
        </w:rPr>
        <w:t>Hatina,</w:t>
      </w:r>
      <w:r w:rsidRPr="00755B34">
        <w:rPr>
          <w:rFonts w:ascii="Times New Roman" w:hAnsi="Times New Roman" w:cs="Times New Roman"/>
          <w:sz w:val="24"/>
          <w:szCs w:val="24"/>
        </w:rPr>
        <w:t xml:space="preserve"> in order for NTT to find a wider audience or even to survive, especially in the West, its practitioners must “respectfully and intelligently interact with both secularism and religious pluralism,” constructing their theologies in conversation with modern culture. This, as will be seen, is very different from the usual goals and methods of NTT. In short, for both </w:t>
      </w:r>
      <w:r w:rsidRPr="00755B34">
        <w:rPr>
          <w:rFonts w:ascii="Times New Roman" w:hAnsi="Times New Roman" w:cs="Times New Roman"/>
          <w:i/>
          <w:sz w:val="24"/>
          <w:szCs w:val="24"/>
        </w:rPr>
        <w:t xml:space="preserve">Räisänen </w:t>
      </w:r>
      <w:r w:rsidRPr="00755B34">
        <w:rPr>
          <w:rFonts w:ascii="Times New Roman" w:hAnsi="Times New Roman" w:cs="Times New Roman"/>
          <w:sz w:val="24"/>
          <w:szCs w:val="24"/>
        </w:rPr>
        <w:t xml:space="preserve">and </w:t>
      </w:r>
      <w:r w:rsidRPr="00755B34">
        <w:rPr>
          <w:rFonts w:ascii="Times New Roman" w:hAnsi="Times New Roman" w:cs="Times New Roman"/>
          <w:i/>
          <w:sz w:val="24"/>
          <w:szCs w:val="24"/>
        </w:rPr>
        <w:t>Hatina,</w:t>
      </w:r>
      <w:r w:rsidRPr="00755B34">
        <w:rPr>
          <w:rFonts w:ascii="Times New Roman" w:hAnsi="Times New Roman" w:cs="Times New Roman"/>
          <w:sz w:val="24"/>
          <w:szCs w:val="24"/>
        </w:rPr>
        <w:t xml:space="preserve"> unity and diversity is a non-issue, since a unified NTT is neither desirable nor even possible. </w:t>
      </w:r>
      <w:r w:rsidRPr="00755B34">
        <w:rPr>
          <w:rFonts w:ascii="Times New Roman" w:hAnsi="Times New Roman" w:cs="Times New Roman"/>
          <w:i/>
          <w:sz w:val="24"/>
          <w:szCs w:val="24"/>
        </w:rPr>
        <w:t>Räisänen</w:t>
      </w:r>
      <w:r w:rsidRPr="00755B34">
        <w:rPr>
          <w:rFonts w:ascii="Times New Roman" w:hAnsi="Times New Roman" w:cs="Times New Roman"/>
          <w:sz w:val="24"/>
          <w:szCs w:val="24"/>
        </w:rPr>
        <w:t xml:space="preserve"> believes that scholars should avoid all theological construction, instead opting for historical investigation. </w:t>
      </w:r>
      <w:r w:rsidRPr="00755B34">
        <w:rPr>
          <w:rFonts w:ascii="Times New Roman" w:hAnsi="Times New Roman" w:cs="Times New Roman"/>
          <w:i/>
          <w:sz w:val="24"/>
          <w:szCs w:val="24"/>
        </w:rPr>
        <w:t>Hatina</w:t>
      </w:r>
      <w:r w:rsidRPr="00755B34">
        <w:rPr>
          <w:rFonts w:ascii="Times New Roman" w:hAnsi="Times New Roman" w:cs="Times New Roman"/>
          <w:sz w:val="24"/>
          <w:szCs w:val="24"/>
        </w:rPr>
        <w:t xml:space="preserve"> encourages theological reflection, but only in dialogue with wider studies of religion and culture for the purpose of contemporary relevance.</w:t>
      </w:r>
    </w:p>
    <w:p w:rsidR="00755B34" w:rsidRDefault="00755B34" w:rsidP="00755B34">
      <w:pPr>
        <w:jc w:val="both"/>
        <w:rPr>
          <w:rFonts w:ascii="Times New Roman" w:hAnsi="Times New Roman" w:cs="Times New Roman"/>
          <w:sz w:val="24"/>
          <w:szCs w:val="24"/>
        </w:rPr>
      </w:pPr>
      <w:r>
        <w:rPr>
          <w:rFonts w:ascii="Times New Roman" w:hAnsi="Times New Roman" w:cs="Times New Roman"/>
          <w:sz w:val="24"/>
          <w:szCs w:val="24"/>
        </w:rPr>
        <w:tab/>
      </w:r>
      <w:r w:rsidRPr="00755B34">
        <w:rPr>
          <w:rFonts w:ascii="Times New Roman" w:hAnsi="Times New Roman" w:cs="Times New Roman"/>
          <w:sz w:val="24"/>
          <w:szCs w:val="24"/>
        </w:rPr>
        <w:t>In short, Marshall argues that all the NT writers shared a common faith and a common purpose—the belief that the Messiah had come for the whole world. He begins with diversity and moves toward unity; his basic approach is to summarize the unique theological themes of each NT document and only then to show the basic lines of theological unity that span the canon, pushing beyond the writings themselves to the “underlying history and experience” of the writers.</w:t>
      </w:r>
    </w:p>
    <w:p w:rsidR="00755B34" w:rsidRDefault="00755B34" w:rsidP="00755B34">
      <w:pPr>
        <w:jc w:val="both"/>
        <w:rPr>
          <w:rFonts w:ascii="Times New Roman" w:hAnsi="Times New Roman" w:cs="Times New Roman"/>
          <w:sz w:val="24"/>
          <w:szCs w:val="24"/>
        </w:rPr>
      </w:pPr>
      <w:bookmarkStart w:id="0" w:name="_GoBack"/>
      <w:bookmarkEnd w:id="0"/>
      <w:r w:rsidRPr="00755B34">
        <w:rPr>
          <w:rFonts w:ascii="Times New Roman" w:hAnsi="Times New Roman" w:cs="Times New Roman"/>
          <w:sz w:val="24"/>
          <w:szCs w:val="24"/>
        </w:rPr>
        <w:lastRenderedPageBreak/>
        <w:t>He makes little mention of its overall plot, particularly as this is related to the larger biblical narrative. The emphasis on mission, though helpful, does not go far enough in demonstrating the gospel story to be the center of the NT’s theological narrative. Instead, theological unity is shown through the enumeration of broad theological themes common to all the NT documents.</w:t>
      </w:r>
    </w:p>
    <w:p w:rsidR="00755B34" w:rsidRDefault="00755B34" w:rsidP="00755B34">
      <w:pPr>
        <w:jc w:val="both"/>
        <w:rPr>
          <w:rFonts w:ascii="Times New Roman" w:hAnsi="Times New Roman" w:cs="Times New Roman"/>
          <w:sz w:val="24"/>
          <w:szCs w:val="24"/>
        </w:rPr>
      </w:pPr>
      <w:r>
        <w:rPr>
          <w:rFonts w:ascii="Times New Roman" w:hAnsi="Times New Roman" w:cs="Times New Roman"/>
          <w:sz w:val="24"/>
          <w:szCs w:val="24"/>
        </w:rPr>
        <w:tab/>
      </w:r>
      <w:r w:rsidRPr="00755B34">
        <w:rPr>
          <w:rFonts w:ascii="Times New Roman" w:hAnsi="Times New Roman" w:cs="Times New Roman"/>
          <w:sz w:val="24"/>
          <w:szCs w:val="24"/>
        </w:rPr>
        <w:t xml:space="preserve">Thielman’s </w:t>
      </w:r>
      <w:r w:rsidR="0014539B">
        <w:rPr>
          <w:rFonts w:ascii="Times New Roman" w:hAnsi="Times New Roman" w:cs="Times New Roman"/>
          <w:sz w:val="24"/>
          <w:szCs w:val="24"/>
        </w:rPr>
        <w:t>major</w:t>
      </w:r>
      <w:r w:rsidRPr="00755B34">
        <w:rPr>
          <w:rFonts w:ascii="Times New Roman" w:hAnsi="Times New Roman" w:cs="Times New Roman"/>
          <w:sz w:val="24"/>
          <w:szCs w:val="24"/>
        </w:rPr>
        <w:t xml:space="preserve"> concern is to allow each book of the NT to speak for itself, thereby highlighting its unique theological contributions. Like Marshall, he is concerned to defend the uniqueness of each of the NT documents while at the same time demonstrating a fundamental unity across the NT canon.</w:t>
      </w:r>
      <w:r w:rsidR="0014539B">
        <w:rPr>
          <w:rFonts w:ascii="Times New Roman" w:hAnsi="Times New Roman" w:cs="Times New Roman"/>
          <w:sz w:val="24"/>
          <w:szCs w:val="24"/>
        </w:rPr>
        <w:t xml:space="preserve"> </w:t>
      </w:r>
      <w:r w:rsidRPr="00755B34">
        <w:rPr>
          <w:rFonts w:ascii="Times New Roman" w:hAnsi="Times New Roman" w:cs="Times New Roman"/>
          <w:sz w:val="24"/>
          <w:szCs w:val="24"/>
        </w:rPr>
        <w:t>Though his approach is book-by-book, his method differs from Marshall’s in that he gives more attention to historical background and works through each book section-by-section in order to summarize its theological contents.</w:t>
      </w:r>
    </w:p>
    <w:p w:rsidR="0014539B" w:rsidRDefault="0014539B" w:rsidP="0014539B">
      <w:pPr>
        <w:jc w:val="both"/>
        <w:rPr>
          <w:rFonts w:ascii="Times New Roman" w:hAnsi="Times New Roman" w:cs="Times New Roman"/>
          <w:sz w:val="24"/>
          <w:szCs w:val="24"/>
        </w:rPr>
      </w:pPr>
      <w:r>
        <w:rPr>
          <w:rFonts w:ascii="Times New Roman" w:hAnsi="Times New Roman" w:cs="Times New Roman"/>
          <w:sz w:val="24"/>
          <w:szCs w:val="24"/>
        </w:rPr>
        <w:tab/>
      </w:r>
      <w:r w:rsidRPr="0014539B">
        <w:rPr>
          <w:rFonts w:ascii="Times New Roman" w:hAnsi="Times New Roman" w:cs="Times New Roman"/>
          <w:sz w:val="24"/>
          <w:szCs w:val="24"/>
        </w:rPr>
        <w:t>Like Marshall and Thielman, Matera seeks to do justice to the diverse contributions of the various NT texts while showing that within this diversity there is a core of theological unity. Also like Marshall and Thielman, he starts with diversity and moves toward unity.</w:t>
      </w:r>
      <w:r>
        <w:rPr>
          <w:rFonts w:ascii="Times New Roman" w:hAnsi="Times New Roman" w:cs="Times New Roman"/>
          <w:sz w:val="24"/>
          <w:szCs w:val="24"/>
        </w:rPr>
        <w:t xml:space="preserve"> Also, </w:t>
      </w:r>
      <w:r w:rsidRPr="0014539B">
        <w:rPr>
          <w:rFonts w:ascii="Times New Roman" w:hAnsi="Times New Roman" w:cs="Times New Roman"/>
          <w:sz w:val="24"/>
          <w:szCs w:val="24"/>
        </w:rPr>
        <w:t xml:space="preserve">Schreiner argues that “NT theology is God-focused, </w:t>
      </w:r>
      <w:r w:rsidRPr="0014539B">
        <w:rPr>
          <w:rFonts w:ascii="Times New Roman" w:hAnsi="Times New Roman" w:cs="Times New Roman"/>
          <w:i/>
          <w:sz w:val="24"/>
          <w:szCs w:val="24"/>
        </w:rPr>
        <w:t>Christcentered,</w:t>
      </w:r>
      <w:r w:rsidRPr="0014539B">
        <w:rPr>
          <w:rFonts w:ascii="Times New Roman" w:hAnsi="Times New Roman" w:cs="Times New Roman"/>
          <w:sz w:val="24"/>
          <w:szCs w:val="24"/>
        </w:rPr>
        <w:t xml:space="preserve"> and Spirit-saturated, but the work of the Father, Son, and Spirit must be understood along a salvation-historical timeline; that is, God’s promises are already fulfilled but not yet consummated in Christ Jesus.” His unique contribution lies in his exposition of the NT’s fundamental theological themes and his demonstration that these themes run throughout the canon</w:t>
      </w:r>
      <w:r>
        <w:rPr>
          <w:rFonts w:ascii="Times New Roman" w:hAnsi="Times New Roman" w:cs="Times New Roman"/>
          <w:sz w:val="24"/>
          <w:szCs w:val="24"/>
        </w:rPr>
        <w:t>.</w:t>
      </w:r>
    </w:p>
    <w:p w:rsidR="0014539B" w:rsidRDefault="0014539B" w:rsidP="00AF0109">
      <w:pPr>
        <w:jc w:val="both"/>
        <w:rPr>
          <w:rFonts w:ascii="Times New Roman" w:hAnsi="Times New Roman" w:cs="Times New Roman"/>
          <w:sz w:val="24"/>
          <w:szCs w:val="24"/>
        </w:rPr>
      </w:pPr>
      <w:r>
        <w:rPr>
          <w:rFonts w:ascii="Times New Roman" w:hAnsi="Times New Roman" w:cs="Times New Roman"/>
          <w:sz w:val="24"/>
          <w:szCs w:val="24"/>
        </w:rPr>
        <w:tab/>
      </w:r>
      <w:r w:rsidRPr="0014539B">
        <w:rPr>
          <w:rFonts w:ascii="Times New Roman" w:hAnsi="Times New Roman" w:cs="Times New Roman"/>
          <w:sz w:val="24"/>
          <w:szCs w:val="24"/>
        </w:rPr>
        <w:t xml:space="preserve">For Schnelle, “the task of a theology of the New Testament is to apprehend </w:t>
      </w:r>
      <w:r>
        <w:rPr>
          <w:rFonts w:ascii="Times New Roman" w:hAnsi="Times New Roman" w:cs="Times New Roman"/>
          <w:sz w:val="24"/>
          <w:szCs w:val="24"/>
        </w:rPr>
        <w:t>(</w:t>
      </w:r>
      <w:r w:rsidRPr="0014539B">
        <w:rPr>
          <w:rFonts w:ascii="Times New Roman" w:hAnsi="Times New Roman" w:cs="Times New Roman"/>
          <w:sz w:val="24"/>
          <w:szCs w:val="24"/>
        </w:rPr>
        <w:t>the NT authors’</w:t>
      </w:r>
      <w:r w:rsidR="00AF0109">
        <w:rPr>
          <w:rFonts w:ascii="Times New Roman" w:hAnsi="Times New Roman" w:cs="Times New Roman"/>
          <w:sz w:val="24"/>
          <w:szCs w:val="24"/>
        </w:rPr>
        <w:t>)</w:t>
      </w:r>
      <w:r w:rsidRPr="0014539B">
        <w:rPr>
          <w:rFonts w:ascii="Times New Roman" w:hAnsi="Times New Roman" w:cs="Times New Roman"/>
          <w:sz w:val="24"/>
          <w:szCs w:val="24"/>
        </w:rPr>
        <w:t xml:space="preserve"> achievements of meaning-formation and to present them in their theological, literary, and history-of</w:t>
      </w:r>
      <w:r w:rsidR="00AF0109">
        <w:rPr>
          <w:rFonts w:ascii="Times New Roman" w:hAnsi="Times New Roman" w:cs="Times New Roman"/>
          <w:sz w:val="24"/>
          <w:szCs w:val="24"/>
        </w:rPr>
        <w:t xml:space="preserve"> </w:t>
      </w:r>
      <w:r w:rsidRPr="0014539B">
        <w:rPr>
          <w:rFonts w:ascii="Times New Roman" w:hAnsi="Times New Roman" w:cs="Times New Roman"/>
          <w:sz w:val="24"/>
          <w:szCs w:val="24"/>
        </w:rPr>
        <w:t>religion dimensions. The aim is to facilitate authentic reception of the New Testament’s meaning-formation in the present.”</w:t>
      </w:r>
      <w:r w:rsidR="00AF0109">
        <w:rPr>
          <w:rFonts w:ascii="Times New Roman" w:hAnsi="Times New Roman" w:cs="Times New Roman"/>
          <w:sz w:val="24"/>
          <w:szCs w:val="24"/>
        </w:rPr>
        <w:t xml:space="preserve"> </w:t>
      </w:r>
      <w:r w:rsidRPr="0014539B">
        <w:rPr>
          <w:rFonts w:ascii="Times New Roman" w:hAnsi="Times New Roman" w:cs="Times New Roman"/>
          <w:sz w:val="24"/>
          <w:szCs w:val="24"/>
        </w:rPr>
        <w:t>By “meaning-formation” he means “establishing or maintaining a valid orientation to the world and to life.”</w:t>
      </w:r>
      <w:r w:rsidR="00AF0109">
        <w:rPr>
          <w:rFonts w:ascii="Times New Roman" w:hAnsi="Times New Roman" w:cs="Times New Roman"/>
          <w:sz w:val="24"/>
          <w:szCs w:val="24"/>
        </w:rPr>
        <w:t xml:space="preserve"> Moreover, </w:t>
      </w:r>
      <w:r w:rsidR="00AF0109" w:rsidRPr="00AF0109">
        <w:rPr>
          <w:rFonts w:ascii="Times New Roman" w:hAnsi="Times New Roman" w:cs="Times New Roman"/>
          <w:sz w:val="24"/>
          <w:szCs w:val="24"/>
        </w:rPr>
        <w:t xml:space="preserve">For </w:t>
      </w:r>
      <w:r w:rsidR="00AF0109">
        <w:rPr>
          <w:rFonts w:ascii="Times New Roman" w:hAnsi="Times New Roman" w:cs="Times New Roman"/>
          <w:sz w:val="24"/>
          <w:szCs w:val="24"/>
        </w:rPr>
        <w:t>Beale,</w:t>
      </w:r>
      <w:r w:rsidR="00AF0109" w:rsidRPr="00AF0109">
        <w:rPr>
          <w:rFonts w:ascii="Times New Roman" w:hAnsi="Times New Roman" w:cs="Times New Roman"/>
          <w:sz w:val="24"/>
          <w:szCs w:val="24"/>
        </w:rPr>
        <w:t xml:space="preserve"> the theological unity of the Bible is to be found in its storyline. Broadly speaking, his approach is to identify the fundamental storylines of the OT and the NT and then to show how that of the NT is founded upon, flows out of, and transforms that of the OT.</w:t>
      </w:r>
    </w:p>
    <w:p w:rsidR="00AF0109" w:rsidRDefault="00AF0109" w:rsidP="00AF0109">
      <w:pPr>
        <w:jc w:val="both"/>
        <w:rPr>
          <w:rFonts w:ascii="Times New Roman" w:hAnsi="Times New Roman" w:cs="Times New Roman"/>
          <w:b/>
          <w:sz w:val="24"/>
          <w:szCs w:val="24"/>
        </w:rPr>
      </w:pPr>
      <w:r w:rsidRPr="00AF0109">
        <w:rPr>
          <w:rFonts w:ascii="Times New Roman" w:hAnsi="Times New Roman" w:cs="Times New Roman"/>
          <w:b/>
          <w:sz w:val="24"/>
          <w:szCs w:val="24"/>
        </w:rPr>
        <w:t>Conclusion</w:t>
      </w:r>
      <w:r>
        <w:rPr>
          <w:rFonts w:ascii="Times New Roman" w:hAnsi="Times New Roman" w:cs="Times New Roman"/>
          <w:b/>
          <w:sz w:val="24"/>
          <w:szCs w:val="24"/>
        </w:rPr>
        <w:t xml:space="preserve"> </w:t>
      </w:r>
    </w:p>
    <w:p w:rsidR="00AF0109" w:rsidRPr="00AF0109" w:rsidRDefault="00AF0109" w:rsidP="00AF0109">
      <w:pPr>
        <w:jc w:val="both"/>
        <w:rPr>
          <w:rFonts w:ascii="Times New Roman" w:hAnsi="Times New Roman" w:cs="Times New Roman"/>
          <w:sz w:val="24"/>
          <w:szCs w:val="24"/>
        </w:rPr>
      </w:pPr>
      <w:r>
        <w:rPr>
          <w:rFonts w:ascii="Times New Roman" w:hAnsi="Times New Roman" w:cs="Times New Roman"/>
          <w:b/>
          <w:sz w:val="24"/>
          <w:szCs w:val="24"/>
        </w:rPr>
        <w:tab/>
      </w:r>
      <w:r w:rsidRPr="00AF0109">
        <w:rPr>
          <w:rFonts w:ascii="Times New Roman" w:hAnsi="Times New Roman" w:cs="Times New Roman"/>
          <w:sz w:val="24"/>
          <w:szCs w:val="24"/>
        </w:rPr>
        <w:t>Finally, is a disservice to the church, as it does not help readers to deal with apparent contradictions and discrepancies. Conversely, those that fail to take into account canonical relationships between NT documents, not to mention such relationships with the OT, will fail to understand accurately the overall theology of the NT. One must walk the line, upholding both unity and diversity without overemphasizing one or the other.</w:t>
      </w:r>
    </w:p>
    <w:sectPr w:rsidR="00AF0109" w:rsidRPr="00AF01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CD5"/>
    <w:rsid w:val="0006172A"/>
    <w:rsid w:val="000A27BE"/>
    <w:rsid w:val="00106862"/>
    <w:rsid w:val="0014539B"/>
    <w:rsid w:val="00755B34"/>
    <w:rsid w:val="00984CD5"/>
    <w:rsid w:val="00AF0109"/>
    <w:rsid w:val="00B521C6"/>
    <w:rsid w:val="00DF4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E94D0"/>
  <w15:chartTrackingRefBased/>
  <w15:docId w15:val="{F9DD5816-F8B2-469C-B463-DB63CCC64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871</Words>
  <Characters>4970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2020-11-22T18:59:00Z</dcterms:created>
  <dcterms:modified xsi:type="dcterms:W3CDTF">2020-11-22T19:49:00Z</dcterms:modified>
</cp:coreProperties>
</file>