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Pr="00903DA2" w:rsidRDefault="00552DA7" w:rsidP="00903DA2">
      <w:pPr>
        <w:jc w:val="center"/>
        <w:rPr>
          <w:b/>
        </w:rPr>
      </w:pPr>
      <w:r w:rsidRPr="00903DA2">
        <w:rPr>
          <w:b/>
        </w:rPr>
        <w:t>LECTURE 10: THE MESSIAH, MESSIANISM</w:t>
      </w:r>
      <w:r w:rsidR="002D0D10" w:rsidRPr="00903DA2">
        <w:rPr>
          <w:b/>
        </w:rPr>
        <w:t>, GOD’S FUTURE PLAN</w:t>
      </w:r>
    </w:p>
    <w:p w:rsidR="00552DA7" w:rsidRDefault="00552DA7"/>
    <w:p w:rsidR="00552DA7" w:rsidRDefault="006D648E" w:rsidP="006D648E">
      <w:pPr>
        <w:jc w:val="both"/>
      </w:pPr>
      <w:r>
        <w:t>The figure of the Messiah has an important place in Israel’s understanding of their future in relation to their faith in God. In discussing the Messiah, it is necessary to make a distinction between messiah and the Messiah. A number of OT figures were expected to appear in God’s definitive intervention on behalf</w:t>
      </w:r>
      <w:r w:rsidR="009131BF">
        <w:t xml:space="preserve"> of his people. These people, as a result of the special relationship they have with God and the specific mission they have could be regarded as anointed by God for intervening in the lives of his people. On the other hand, we have the term “Messiah” (capitalized) who is the anointed king of Davidic dynasty promised by God to David in 2 Sam 7</w:t>
      </w:r>
      <w:r w:rsidR="000D0346">
        <w:t xml:space="preserve">:12. This king is expected to establish Yhwh’s rule on earth and is going to be His royal representative here on earth. </w:t>
      </w:r>
    </w:p>
    <w:p w:rsidR="000D0346" w:rsidRDefault="000D0346" w:rsidP="006D648E">
      <w:pPr>
        <w:jc w:val="both"/>
      </w:pPr>
    </w:p>
    <w:p w:rsidR="000D0346" w:rsidRDefault="000D0346" w:rsidP="006D648E">
      <w:pPr>
        <w:jc w:val="both"/>
      </w:pPr>
      <w:r>
        <w:t>The Term “Messiah”</w:t>
      </w:r>
    </w:p>
    <w:p w:rsidR="000D0346" w:rsidRDefault="000D0346" w:rsidP="006D648E">
      <w:pPr>
        <w:jc w:val="both"/>
      </w:pPr>
    </w:p>
    <w:p w:rsidR="000D0346" w:rsidRDefault="00FC3BD1" w:rsidP="006D648E">
      <w:pPr>
        <w:jc w:val="both"/>
      </w:pPr>
      <w:r>
        <w:t>The English word “Messiah” comes from the Hebrew</w:t>
      </w:r>
      <w:r w:rsidR="00D51BD5">
        <w:t xml:space="preserve"> </w:t>
      </w:r>
      <w:r w:rsidR="00D51BD5" w:rsidRPr="00D51BD5">
        <w:t>מָּשִׁ֛</w:t>
      </w:r>
      <w:proofErr w:type="spellStart"/>
      <w:r w:rsidR="00D51BD5" w:rsidRPr="00D51BD5">
        <w:t>יח</w:t>
      </w:r>
      <w:proofErr w:type="spellEnd"/>
      <w:r w:rsidR="00D51BD5" w:rsidRPr="00D51BD5">
        <w:t>ַ</w:t>
      </w:r>
      <w:r>
        <w:t xml:space="preserve"> </w:t>
      </w:r>
      <w:r w:rsidR="00D51BD5">
        <w:t xml:space="preserve">mašîaḥ </w:t>
      </w:r>
      <w:r>
        <w:t>which actually means “anointed</w:t>
      </w:r>
      <w:r w:rsidR="00D51BD5">
        <w:t xml:space="preserve"> one</w:t>
      </w:r>
      <w:r>
        <w:t xml:space="preserve">”. However, this Hebrew word is also related to the Aram mešîḥā’. </w:t>
      </w:r>
      <w:r w:rsidR="00D51BD5">
        <w:t>The Hebrew word occurs a total of 39 times but all these times, it was never translated in the NRSV with the title “Messiah” but rather with the word “anointed” or “anointed one” (Ps 105:15; 132:10; 132:17). First this shows that the concept of “Messiah” as we know it in the NT context is not as pronounced in the OT as it is in the NT. This concept is an intertestamental concept which occurs more extensively in the NT. This does not mean however, that the concept as such does not exist in the OT. The few number of times in which this Hebrew word could be translated within a context as “anointed one” occurs more often in the Psalms</w:t>
      </w:r>
      <w:r w:rsidR="00F0261F">
        <w:t xml:space="preserve"> and in 1 Samuel. The idea of a future anointed one who would sprout from the stock of David is found in Ps 132:17 and in this text,  </w:t>
      </w:r>
      <w:r w:rsidR="00F0261F" w:rsidRPr="00D51BD5">
        <w:t>מָּשִׁ֛</w:t>
      </w:r>
      <w:proofErr w:type="spellStart"/>
      <w:r w:rsidR="00F0261F" w:rsidRPr="00D51BD5">
        <w:t>יח</w:t>
      </w:r>
      <w:proofErr w:type="spellEnd"/>
      <w:r w:rsidR="00F0261F" w:rsidRPr="00D51BD5">
        <w:t>ַ</w:t>
      </w:r>
      <w:r w:rsidR="00F0261F">
        <w:t xml:space="preserve"> satisfies all the requirements of the concept of a Messiah. Here, the person in question is “anointed”, secondly that anointed one comes from the “stock of David” and finally the person in question is promised for a future time. </w:t>
      </w:r>
    </w:p>
    <w:p w:rsidR="00692B26" w:rsidRDefault="00692B26" w:rsidP="006D648E">
      <w:pPr>
        <w:jc w:val="both"/>
      </w:pPr>
    </w:p>
    <w:p w:rsidR="00692B26" w:rsidRDefault="00692B26" w:rsidP="006D648E">
      <w:pPr>
        <w:jc w:val="both"/>
      </w:pPr>
      <w:r>
        <w:t xml:space="preserve">The term “anointed” </w:t>
      </w:r>
      <w:r w:rsidRPr="00D51BD5">
        <w:t>מָּשִׁ֛</w:t>
      </w:r>
      <w:proofErr w:type="spellStart"/>
      <w:r w:rsidRPr="00D51BD5">
        <w:t>יח</w:t>
      </w:r>
      <w:proofErr w:type="spellEnd"/>
      <w:r w:rsidRPr="00D51BD5">
        <w:t>ַ</w:t>
      </w:r>
      <w:r>
        <w:t xml:space="preserve"> (</w:t>
      </w:r>
      <w:r w:rsidRPr="00692B26">
        <w:rPr>
          <w:i/>
        </w:rPr>
        <w:t>mašîaḥ</w:t>
      </w:r>
      <w:r>
        <w:t>) as a Theological Concept</w:t>
      </w:r>
    </w:p>
    <w:p w:rsidR="00692B26" w:rsidRDefault="00692B26" w:rsidP="006D648E">
      <w:pPr>
        <w:jc w:val="both"/>
      </w:pPr>
    </w:p>
    <w:p w:rsidR="00692B26" w:rsidRDefault="00692B26" w:rsidP="006D648E">
      <w:pPr>
        <w:jc w:val="both"/>
      </w:pPr>
      <w:r>
        <w:t xml:space="preserve">In the OT, the term Messiah appears in post-exilic Judaism though not in the sense we are using it today. We could safely say that the noun became a theologoumenon within the OT and appears in syntagmatic relationship with YHWH, hence mašîaḥ YHWH, i.e. “the anointed of Yhwh”. This syntagmatic relationship of </w:t>
      </w:r>
      <w:r w:rsidRPr="00692B26">
        <w:rPr>
          <w:i/>
        </w:rPr>
        <w:t>mašîaḥ YHWH</w:t>
      </w:r>
      <w:r>
        <w:t xml:space="preserve"> as a theological concept is specific to Israel in the whole of the ANE because no other parallel of this concept has been found in other ANE cultures. </w:t>
      </w:r>
    </w:p>
    <w:p w:rsidR="00692B26" w:rsidRDefault="00692B26" w:rsidP="006D648E">
      <w:pPr>
        <w:jc w:val="both"/>
      </w:pPr>
    </w:p>
    <w:p w:rsidR="00692B26" w:rsidRDefault="00692B26" w:rsidP="006D648E">
      <w:pPr>
        <w:jc w:val="both"/>
      </w:pPr>
      <w:r>
        <w:t xml:space="preserve">The word </w:t>
      </w:r>
      <w:r w:rsidRPr="00692B26">
        <w:rPr>
          <w:i/>
        </w:rPr>
        <w:t>mašîaḥ</w:t>
      </w:r>
      <w:r>
        <w:t xml:space="preserve"> has a distinctive distribution throughout the OT. A large portion of this word is found in the sources of Deuteronomistic History, the story of David’s rise (cf. 1 Sam 16:6; 24:7; 26:9; 16:23; 2 Sam 1:14, 16). It is also found in the story of David’s succession (cf. 2 Sam 19:22), other Davidic traditions (cf. 2 Sam 23:1) and other Deuteronomistic texts (1 Sam 2:35; 12:3, 5; 2 Sam 12:7). We also find a large distribution of the term in the Psalms where it is always a royal title (</w:t>
      </w:r>
      <w:r w:rsidR="002D0D10">
        <w:t>cf. e.g. Ps 2:2; 18:51; 20:7; 28:8; 84:10</w:t>
      </w:r>
      <w:r>
        <w:t xml:space="preserve">). </w:t>
      </w:r>
      <w:r>
        <w:rPr>
          <w:i/>
        </w:rPr>
        <w:t>M</w:t>
      </w:r>
      <w:r w:rsidRPr="00692B26">
        <w:rPr>
          <w:i/>
        </w:rPr>
        <w:t>ašîaḥ</w:t>
      </w:r>
      <w:r>
        <w:t xml:space="preserve"> as a royal title is also found in the prophetic literature</w:t>
      </w:r>
      <w:r w:rsidR="002D0D10">
        <w:t xml:space="preserve"> (cf. Isa 45:1; </w:t>
      </w:r>
      <w:proofErr w:type="spellStart"/>
      <w:r w:rsidR="002D0D10">
        <w:t>Hab</w:t>
      </w:r>
      <w:proofErr w:type="spellEnd"/>
      <w:r w:rsidR="002D0D10">
        <w:t xml:space="preserve"> 3:13). The other occurrences are found in the Priestly texts (cf. Lev 4:3, 5, 16; 6:15) and also in Dan 9:25. Looking at the texts in terms of dating, the royal conception associated to the title is found in the earlier texts since it </w:t>
      </w:r>
      <w:r w:rsidR="002D0D10">
        <w:lastRenderedPageBreak/>
        <w:t xml:space="preserve">occurs in over a period that includes the monarchy down to the exile (Lam 4:20). In the post-exilic period, it became an honorific title of the high priest. </w:t>
      </w:r>
    </w:p>
    <w:p w:rsidR="002D0D10" w:rsidRDefault="002D0D10" w:rsidP="006D648E">
      <w:pPr>
        <w:jc w:val="both"/>
      </w:pPr>
    </w:p>
    <w:p w:rsidR="002D0D10" w:rsidRDefault="002D0D10" w:rsidP="006D648E">
      <w:pPr>
        <w:jc w:val="both"/>
      </w:pPr>
      <w:r>
        <w:t>The royal title of</w:t>
      </w:r>
      <w:r w:rsidR="00E60AFE">
        <w:t xml:space="preserve"> </w:t>
      </w:r>
      <w:r w:rsidR="00E60AFE" w:rsidRPr="00692B26">
        <w:rPr>
          <w:i/>
        </w:rPr>
        <w:t>mašîaḥ</w:t>
      </w:r>
      <w:r>
        <w:t xml:space="preserve"> in Deuteronomistic Texts</w:t>
      </w:r>
    </w:p>
    <w:p w:rsidR="002D0D10" w:rsidRDefault="002D0D10" w:rsidP="006D648E">
      <w:pPr>
        <w:jc w:val="both"/>
      </w:pPr>
    </w:p>
    <w:p w:rsidR="002D0D10" w:rsidRDefault="002D0D10" w:rsidP="006D648E">
      <w:pPr>
        <w:jc w:val="both"/>
      </w:pPr>
      <w:r>
        <w:t xml:space="preserve">The title </w:t>
      </w:r>
      <w:r w:rsidRPr="00692B26">
        <w:rPr>
          <w:i/>
        </w:rPr>
        <w:t>mašîaḥ</w:t>
      </w:r>
      <w:r>
        <w:rPr>
          <w:i/>
        </w:rPr>
        <w:t xml:space="preserve"> </w:t>
      </w:r>
      <w:r w:rsidRPr="002D0D10">
        <w:t>used as a royal title is usually Jerusalem based, meaning that no Northern king was characterized with this titl</w:t>
      </w:r>
      <w:r>
        <w:t xml:space="preserve">e except for Saul. The conception of “anointed of Yhwh” originated and found general use with the notion that God initiated an anointing of a person and this is usually rendered with the verb </w:t>
      </w:r>
      <w:proofErr w:type="spellStart"/>
      <w:r>
        <w:t>māšaḥ</w:t>
      </w:r>
      <w:proofErr w:type="spellEnd"/>
      <w:r>
        <w:t xml:space="preserve">. Seybold believes that this means that this title came into being during the time of Solomon under the influence of a developing official Jerusalemite royal theology and ideology. </w:t>
      </w:r>
      <w:r w:rsidR="00E60AFE">
        <w:t xml:space="preserve"> </w:t>
      </w:r>
    </w:p>
    <w:p w:rsidR="002D0D10" w:rsidRDefault="002D0D10" w:rsidP="006D648E">
      <w:pPr>
        <w:jc w:val="both"/>
        <w:rPr>
          <w:i/>
        </w:rPr>
      </w:pPr>
    </w:p>
    <w:p w:rsidR="002D0D10" w:rsidRDefault="002D0D10" w:rsidP="006D648E">
      <w:pPr>
        <w:jc w:val="both"/>
      </w:pPr>
      <w:r w:rsidRPr="002D0D10">
        <w:t xml:space="preserve"> </w:t>
      </w:r>
      <w:r>
        <w:t xml:space="preserve">The Saul texts should be interpreted more theologically than historically because the parallel traditions of 1 Sam 24 and 26 together with 2 Sam 1 all treat a fundamental theme of royal ideology, i.e. the indelible character bestowed as a charisma by anointing. This is the reason the syntagmatic expression </w:t>
      </w:r>
      <w:r w:rsidRPr="00692B26">
        <w:rPr>
          <w:i/>
        </w:rPr>
        <w:t>mašîaḥ YHWH</w:t>
      </w:r>
      <w:r>
        <w:t xml:space="preserve"> may be considered the product of theological reflection and stylization. There are found different ways in which the title is conceived in the Deuteronomistic tradition. However, all these ways refer to the development of a royal ideology and theology. </w:t>
      </w:r>
    </w:p>
    <w:p w:rsidR="002D0D10" w:rsidRDefault="002D0D10" w:rsidP="006D648E">
      <w:pPr>
        <w:jc w:val="both"/>
      </w:pPr>
    </w:p>
    <w:p w:rsidR="002D0D10" w:rsidRPr="002D0D10" w:rsidRDefault="002D0D10" w:rsidP="002D0D10">
      <w:pPr>
        <w:pStyle w:val="ListParagraph"/>
        <w:numPr>
          <w:ilvl w:val="0"/>
          <w:numId w:val="1"/>
        </w:numPr>
        <w:jc w:val="both"/>
      </w:pPr>
      <w:r>
        <w:t>Exclusive relationship with Yhwh</w:t>
      </w:r>
    </w:p>
    <w:p w:rsidR="002D0D10" w:rsidRDefault="002D0D10" w:rsidP="006D648E">
      <w:pPr>
        <w:jc w:val="both"/>
      </w:pPr>
    </w:p>
    <w:p w:rsidR="002D0D10" w:rsidRDefault="002D0D10" w:rsidP="006D648E">
      <w:pPr>
        <w:jc w:val="both"/>
      </w:pPr>
      <w:r>
        <w:t xml:space="preserve">This notion of finds expression in a restricted use of the term and may have </w:t>
      </w:r>
      <w:proofErr w:type="gramStart"/>
      <w:r>
        <w:t>been a reflection of</w:t>
      </w:r>
      <w:proofErr w:type="gramEnd"/>
      <w:r>
        <w:t xml:space="preserve"> the traditional belief that Israel had a special relationship with Yhwh. It is believed that the Davidic covenant was produced by this notion which intended to summarize the relationship of David and Yhwh as exclusive and special. </w:t>
      </w:r>
    </w:p>
    <w:p w:rsidR="002D0D10" w:rsidRDefault="002D0D10" w:rsidP="006D648E">
      <w:pPr>
        <w:jc w:val="both"/>
      </w:pPr>
    </w:p>
    <w:p w:rsidR="002D0D10" w:rsidRDefault="002D0D10" w:rsidP="002D0D10">
      <w:pPr>
        <w:pStyle w:val="ListParagraph"/>
        <w:numPr>
          <w:ilvl w:val="0"/>
          <w:numId w:val="1"/>
        </w:numPr>
        <w:jc w:val="both"/>
      </w:pPr>
      <w:r>
        <w:t>The Status of a King and the Legitimation of Sacral Kingship</w:t>
      </w:r>
    </w:p>
    <w:p w:rsidR="002D0D10" w:rsidRDefault="002D0D10" w:rsidP="002D0D10">
      <w:pPr>
        <w:jc w:val="both"/>
      </w:pPr>
    </w:p>
    <w:p w:rsidR="005F2B49" w:rsidRDefault="005F2B49" w:rsidP="002D0D10">
      <w:pPr>
        <w:jc w:val="both"/>
      </w:pPr>
      <w:r>
        <w:t xml:space="preserve">This title defined the status of the king and then created legitimacy for sacral kingship in Israel. This idea is connected to the ancient Israelite notion of election. Within the ANE, the king was sometimes considered the vassal of a deity. This idea is already found in the Egyptian royal ideology. It could be the case that the Davidic king was assumed to be “God’s vassal”. This means that the king had a special relationship with YHWH but also implies that the king had royal obligations to be subservient to YHWH. </w:t>
      </w:r>
    </w:p>
    <w:p w:rsidR="000E311F" w:rsidRDefault="000E311F" w:rsidP="002D0D10">
      <w:pPr>
        <w:jc w:val="both"/>
      </w:pPr>
    </w:p>
    <w:p w:rsidR="000E311F" w:rsidRDefault="000E311F" w:rsidP="000E311F">
      <w:pPr>
        <w:pStyle w:val="ListParagraph"/>
        <w:numPr>
          <w:ilvl w:val="0"/>
          <w:numId w:val="1"/>
        </w:numPr>
        <w:jc w:val="both"/>
      </w:pPr>
      <w:r>
        <w:t>Kingship and God’s Kingdom</w:t>
      </w:r>
    </w:p>
    <w:p w:rsidR="000E311F" w:rsidRDefault="000E311F" w:rsidP="000E311F">
      <w:pPr>
        <w:jc w:val="both"/>
      </w:pPr>
    </w:p>
    <w:p w:rsidR="000E311F" w:rsidRDefault="000E311F" w:rsidP="000E311F">
      <w:pPr>
        <w:jc w:val="both"/>
      </w:pPr>
      <w:r>
        <w:t xml:space="preserve">The idea of the Kingdom of God is not very well developed in the OT but not altogether absent. </w:t>
      </w:r>
      <w:r w:rsidR="00E60AFE">
        <w:t xml:space="preserve">This idea was nascent in the OT and the use of </w:t>
      </w:r>
      <w:r w:rsidR="00E60AFE" w:rsidRPr="00692B26">
        <w:rPr>
          <w:i/>
        </w:rPr>
        <w:t>mašîaḥ YHWH</w:t>
      </w:r>
      <w:r w:rsidR="00E60AFE">
        <w:t xml:space="preserve"> integrated the king into this nascent concept of the Kingdom of God with a special role which conceives his place as singular and outstanding. </w:t>
      </w:r>
      <w:r w:rsidR="000F7696">
        <w:t xml:space="preserve">This conception which is also found in the royal Psalms could independently designate this function and become the embodiment of eschatological expectations. This role typifies what has come to characterized a trend of the intertestamental messianic expectation which is related to the person of Jesus. </w:t>
      </w:r>
    </w:p>
    <w:p w:rsidR="000F7696" w:rsidRDefault="000F7696" w:rsidP="000E311F">
      <w:pPr>
        <w:jc w:val="both"/>
      </w:pPr>
    </w:p>
    <w:p w:rsidR="002D0D10" w:rsidRDefault="002D0D10" w:rsidP="002D0D10">
      <w:pPr>
        <w:jc w:val="both"/>
      </w:pPr>
    </w:p>
    <w:p w:rsidR="002D0D10" w:rsidRDefault="002D0D10" w:rsidP="006D648E">
      <w:pPr>
        <w:jc w:val="both"/>
      </w:pPr>
    </w:p>
    <w:p w:rsidR="002D0D10" w:rsidRDefault="002D0D10" w:rsidP="006D648E">
      <w:pPr>
        <w:jc w:val="both"/>
      </w:pPr>
      <w:r>
        <w:t>The Royal Title</w:t>
      </w:r>
      <w:r w:rsidR="000F7696">
        <w:t xml:space="preserve"> of </w:t>
      </w:r>
      <w:r w:rsidR="000F7696" w:rsidRPr="00692B26">
        <w:rPr>
          <w:i/>
        </w:rPr>
        <w:t>mašîaḥ</w:t>
      </w:r>
      <w:r>
        <w:t xml:space="preserve"> in the Psalms</w:t>
      </w:r>
    </w:p>
    <w:p w:rsidR="002D0D10" w:rsidRDefault="002D0D10" w:rsidP="006D648E">
      <w:pPr>
        <w:jc w:val="both"/>
      </w:pPr>
    </w:p>
    <w:p w:rsidR="000F7696" w:rsidRDefault="000F7696" w:rsidP="006D648E">
      <w:pPr>
        <w:jc w:val="both"/>
      </w:pPr>
      <w:r>
        <w:t xml:space="preserve">The royal title </w:t>
      </w:r>
      <w:r w:rsidRPr="00692B26">
        <w:rPr>
          <w:i/>
        </w:rPr>
        <w:t>mašîaḥ YHWH</w:t>
      </w:r>
      <w:r>
        <w:t xml:space="preserve"> in the Psalms always has to be understood in the context in which it is found since the meaning could sometimes vary. The texts in question include several passages from the so-called Royal Psalms which deal with themes associated with Judahite monarchy (cf. </w:t>
      </w:r>
      <w:proofErr w:type="spellStart"/>
      <w:r>
        <w:t>Pss</w:t>
      </w:r>
      <w:proofErr w:type="spellEnd"/>
      <w:r>
        <w:t xml:space="preserve"> 2; 18; 20; 89; 132). Except in Ps 105, these Psalms refer to regents and kings of Davidic dynasty, even though only Ps 132,151 mentions the name of the anointed king as David. Ps 2 begins with a theological metaphor “I have </w:t>
      </w:r>
      <w:r w:rsidRPr="000F7696">
        <w:rPr>
          <w:i/>
        </w:rPr>
        <w:t>anointed</w:t>
      </w:r>
      <w:r>
        <w:t xml:space="preserve"> my king on Zion, the hill of my sanctuary”. The only exception in the use of this expression is Psalm 105:15 where it is used for the patriarchs instead of a king. This shows that the meaning which was already set in use for a king has begun to mutate and may be a marker of a post-exilic development of the term. The Psalms confirm a reason why the Messianic expectation is very much tied to kingship and its singular relationship with the person of Yhwh. </w:t>
      </w:r>
    </w:p>
    <w:p w:rsidR="000F7696" w:rsidRDefault="000F7696" w:rsidP="006D648E">
      <w:pPr>
        <w:jc w:val="both"/>
      </w:pPr>
    </w:p>
    <w:p w:rsidR="000F7696" w:rsidRDefault="002D0D10" w:rsidP="006D648E">
      <w:pPr>
        <w:jc w:val="both"/>
      </w:pPr>
      <w:r>
        <w:t>The Royal Title in the Prophets</w:t>
      </w:r>
      <w:r w:rsidR="000F7696">
        <w:t xml:space="preserve"> </w:t>
      </w:r>
    </w:p>
    <w:p w:rsidR="000F7696" w:rsidRDefault="000F7696" w:rsidP="000F7696">
      <w:pPr>
        <w:pStyle w:val="NormalWeb"/>
        <w:jc w:val="both"/>
        <w:rPr>
          <w:rFonts w:asciiTheme="minorHAnsi" w:hAnsiTheme="minorHAnsi" w:cstheme="minorHAnsi"/>
        </w:rPr>
      </w:pPr>
      <w:r w:rsidRPr="000F7696">
        <w:rPr>
          <w:rFonts w:asciiTheme="minorHAnsi" w:hAnsiTheme="minorHAnsi" w:cstheme="minorHAnsi"/>
        </w:rPr>
        <w:t xml:space="preserve">The prophetic literature contains </w:t>
      </w:r>
      <w:r>
        <w:rPr>
          <w:rFonts w:asciiTheme="minorHAnsi" w:hAnsiTheme="minorHAnsi" w:cstheme="minorHAnsi"/>
        </w:rPr>
        <w:t>some</w:t>
      </w:r>
      <w:r w:rsidRPr="000F7696">
        <w:rPr>
          <w:rFonts w:asciiTheme="minorHAnsi" w:hAnsiTheme="minorHAnsi" w:cstheme="minorHAnsi"/>
        </w:rPr>
        <w:t xml:space="preserve"> references to anointed which shows familiarity with Jerusalem royal theology, however, the expression </w:t>
      </w:r>
      <w:r w:rsidRPr="000F7696">
        <w:rPr>
          <w:rFonts w:asciiTheme="minorHAnsi" w:hAnsiTheme="minorHAnsi" w:cstheme="minorHAnsi"/>
          <w:i/>
        </w:rPr>
        <w:t>mašîaḥ YHWH</w:t>
      </w:r>
      <w:r w:rsidRPr="000F7696">
        <w:rPr>
          <w:rFonts w:asciiTheme="minorHAnsi" w:hAnsiTheme="minorHAnsi" w:cstheme="minorHAnsi"/>
        </w:rPr>
        <w:t xml:space="preserve"> occurs in only one passage of </w:t>
      </w:r>
      <w:proofErr w:type="spellStart"/>
      <w:r w:rsidRPr="000F7696">
        <w:rPr>
          <w:rFonts w:asciiTheme="minorHAnsi" w:hAnsiTheme="minorHAnsi" w:cstheme="minorHAnsi"/>
        </w:rPr>
        <w:t>Deutero</w:t>
      </w:r>
      <w:proofErr w:type="spellEnd"/>
      <w:r w:rsidRPr="000F7696">
        <w:rPr>
          <w:rFonts w:asciiTheme="minorHAnsi" w:hAnsiTheme="minorHAnsi" w:cstheme="minorHAnsi"/>
        </w:rPr>
        <w:t>-Isaiah: “thus says Yhwh to his anointed, to Cyrus, whose right hand I have grasped”. According to Seybold</w:t>
      </w:r>
      <w:r w:rsidRPr="000F7696">
        <w:rPr>
          <w:rStyle w:val="FootnoteReference"/>
          <w:rFonts w:asciiTheme="minorHAnsi" w:hAnsiTheme="minorHAnsi" w:cstheme="minorHAnsi"/>
        </w:rPr>
        <w:footnoteReference w:id="1"/>
      </w:r>
      <w:r w:rsidRPr="000F7696">
        <w:rPr>
          <w:rFonts w:asciiTheme="minorHAnsi" w:hAnsiTheme="minorHAnsi" w:cstheme="minorHAnsi"/>
        </w:rPr>
        <w:t>, “</w:t>
      </w:r>
      <w:proofErr w:type="spellStart"/>
      <w:r w:rsidRPr="000F7696">
        <w:rPr>
          <w:rFonts w:asciiTheme="minorHAnsi" w:hAnsiTheme="minorHAnsi" w:cstheme="minorHAnsi"/>
        </w:rPr>
        <w:t>Deutero</w:t>
      </w:r>
      <w:proofErr w:type="spellEnd"/>
      <w:r w:rsidRPr="000F7696">
        <w:rPr>
          <w:rFonts w:asciiTheme="minorHAnsi" w:hAnsiTheme="minorHAnsi" w:cstheme="minorHAnsi"/>
        </w:rPr>
        <w:t>-Isaiah employs the ancient honorific with great freedom and audacity. Contrary to the entire weight of tradition as well as contemporary prophecy (Ezekiel. Haggai, Zechariah), the title is taken from the Davidic dynasty, Davidic kings past or future.”</w:t>
      </w:r>
      <w:r w:rsidRPr="000F7696">
        <w:rPr>
          <w:rStyle w:val="FootnoteReference"/>
          <w:rFonts w:asciiTheme="minorHAnsi" w:hAnsiTheme="minorHAnsi" w:cstheme="minorHAnsi"/>
        </w:rPr>
        <w:footnoteReference w:id="2"/>
      </w:r>
      <w:r w:rsidRPr="000F7696">
        <w:rPr>
          <w:rFonts w:asciiTheme="minorHAnsi" w:hAnsiTheme="minorHAnsi" w:cstheme="minorHAnsi"/>
        </w:rPr>
        <w:t xml:space="preserve"> Post-exilic prophets returned to the traditional promise to David in their interpretation of the expression. </w:t>
      </w:r>
    </w:p>
    <w:p w:rsidR="000F7696" w:rsidRDefault="000F7696" w:rsidP="000F7696">
      <w:pPr>
        <w:pStyle w:val="NormalWeb"/>
        <w:jc w:val="both"/>
        <w:rPr>
          <w:rFonts w:ascii="Calibri" w:eastAsiaTheme="minorHAnsi" w:hAnsi="Calibri" w:cs="Calibri"/>
        </w:rPr>
      </w:pPr>
      <w:r w:rsidRPr="000F7696">
        <w:rPr>
          <w:rFonts w:ascii="Calibri" w:eastAsiaTheme="minorHAnsi" w:hAnsi="Calibri" w:cs="Calibri"/>
        </w:rPr>
        <w:t xml:space="preserve">Except in Isa 45:1 and </w:t>
      </w:r>
      <w:proofErr w:type="spellStart"/>
      <w:r w:rsidRPr="000F7696">
        <w:rPr>
          <w:rFonts w:ascii="Calibri" w:eastAsiaTheme="minorHAnsi" w:hAnsi="Calibri" w:cs="Calibri"/>
        </w:rPr>
        <w:t>Hab</w:t>
      </w:r>
      <w:proofErr w:type="spellEnd"/>
      <w:r w:rsidRPr="000F7696">
        <w:rPr>
          <w:rFonts w:ascii="Calibri" w:eastAsiaTheme="minorHAnsi" w:hAnsi="Calibri" w:cs="Calibri"/>
        </w:rPr>
        <w:t xml:space="preserve"> 3:13 (already discussed above), the word “anointed” is not found in the books of Isaiah, Jeremiah, Ezekiel, or the Twelve Prophets. However, prophecies concerning future Davidic rulers found in these works contain elements that cannot be neglected in the present inquiry.</w:t>
      </w:r>
      <w:r w:rsidRPr="000F7696">
        <w:rPr>
          <w:rFonts w:ascii="Calibri" w:eastAsiaTheme="minorHAnsi" w:hAnsi="Calibri" w:cs="Calibri"/>
          <w:vertAlign w:val="superscript"/>
        </w:rPr>
        <w:footnoteReference w:id="3"/>
      </w:r>
      <w:r w:rsidRPr="000F7696">
        <w:t xml:space="preserve"> </w:t>
      </w:r>
      <w:r w:rsidRPr="000F7696">
        <w:rPr>
          <w:rFonts w:ascii="Calibri" w:eastAsiaTheme="minorHAnsi" w:hAnsi="Calibri" w:cs="Calibri"/>
        </w:rPr>
        <w:t xml:space="preserve">In the </w:t>
      </w:r>
      <w:proofErr w:type="gramStart"/>
      <w:r w:rsidRPr="000F7696">
        <w:rPr>
          <w:rFonts w:ascii="Calibri" w:eastAsiaTheme="minorHAnsi" w:hAnsi="Calibri" w:cs="Calibri"/>
        </w:rPr>
        <w:t>much disputed</w:t>
      </w:r>
      <w:proofErr w:type="gramEnd"/>
      <w:r w:rsidRPr="000F7696">
        <w:rPr>
          <w:rFonts w:ascii="Calibri" w:eastAsiaTheme="minorHAnsi" w:hAnsi="Calibri" w:cs="Calibri"/>
        </w:rPr>
        <w:t xml:space="preserve"> prophecy of Isa 7:14, the name of the (royal?) child about to be born is Immanuel (“God is with us”), probably as a reminder of God’s continuing care for the house of David and his people. In Isa 9:1–6 (—</w:t>
      </w:r>
      <w:proofErr w:type="spellStart"/>
      <w:r w:rsidRPr="000F7696">
        <w:rPr>
          <w:rFonts w:ascii="Calibri" w:eastAsiaTheme="minorHAnsi" w:hAnsi="Calibri" w:cs="Calibri"/>
        </w:rPr>
        <w:t>Eng</w:t>
      </w:r>
      <w:proofErr w:type="spellEnd"/>
      <w:r w:rsidRPr="000F7696">
        <w:rPr>
          <w:rFonts w:ascii="Calibri" w:eastAsiaTheme="minorHAnsi" w:hAnsi="Calibri" w:cs="Calibri"/>
        </w:rPr>
        <w:t xml:space="preserve"> 2–7), light in darkness, joy, deliverance from enemies, and peace are promised to be </w:t>
      </w:r>
      <w:proofErr w:type="gramStart"/>
      <w:r w:rsidRPr="000F7696">
        <w:rPr>
          <w:rFonts w:ascii="Calibri" w:eastAsiaTheme="minorHAnsi" w:hAnsi="Calibri" w:cs="Calibri"/>
        </w:rPr>
        <w:t>effected</w:t>
      </w:r>
      <w:proofErr w:type="gramEnd"/>
      <w:r w:rsidRPr="000F7696">
        <w:rPr>
          <w:rFonts w:ascii="Calibri" w:eastAsiaTheme="minorHAnsi" w:hAnsi="Calibri" w:cs="Calibri"/>
        </w:rPr>
        <w:t xml:space="preserve"> by a descendant of David who will reign forever with justice and righteousness (cf. 16:5; 32:1). His names are “Wonderful Counselor, Mighty God, Everlasting Father, Prince of Peace” (v 5 [—</w:t>
      </w:r>
      <w:proofErr w:type="spellStart"/>
      <w:r w:rsidRPr="000F7696">
        <w:rPr>
          <w:rFonts w:ascii="Calibri" w:eastAsiaTheme="minorHAnsi" w:hAnsi="Calibri" w:cs="Calibri"/>
        </w:rPr>
        <w:t>Eng</w:t>
      </w:r>
      <w:proofErr w:type="spellEnd"/>
      <w:r w:rsidRPr="000F7696">
        <w:rPr>
          <w:rFonts w:ascii="Calibri" w:eastAsiaTheme="minorHAnsi" w:hAnsi="Calibri" w:cs="Calibri"/>
        </w:rPr>
        <w:t xml:space="preserve"> 6]). In Isa 11:1–9, a situation is portrayed in which the tree representing the Davidic dynasty has been reduced to a mere stump. Yet a branch will grow out of its roots. The Spirit of the Lord will be on this descendant of David.</w:t>
      </w:r>
      <w:r w:rsidRPr="000F7696">
        <w:rPr>
          <w:rFonts w:ascii="Calibri" w:eastAsiaTheme="minorHAnsi" w:hAnsi="Calibri" w:cs="Calibri"/>
          <w:vertAlign w:val="superscript"/>
        </w:rPr>
        <w:footnoteReference w:id="4"/>
      </w:r>
      <w:r w:rsidR="00903DA2" w:rsidRPr="00903DA2">
        <w:t xml:space="preserve"> </w:t>
      </w:r>
      <w:r w:rsidR="00903DA2" w:rsidRPr="00903DA2">
        <w:rPr>
          <w:rFonts w:ascii="Calibri" w:eastAsiaTheme="minorHAnsi" w:hAnsi="Calibri" w:cs="Calibri"/>
        </w:rPr>
        <w:t>The passage in Mic 5:1–3 (—</w:t>
      </w:r>
      <w:proofErr w:type="spellStart"/>
      <w:r w:rsidR="00903DA2" w:rsidRPr="00903DA2">
        <w:rPr>
          <w:rFonts w:ascii="Calibri" w:eastAsiaTheme="minorHAnsi" w:hAnsi="Calibri" w:cs="Calibri"/>
        </w:rPr>
        <w:t>Eng</w:t>
      </w:r>
      <w:proofErr w:type="spellEnd"/>
      <w:r w:rsidR="00903DA2" w:rsidRPr="00903DA2">
        <w:rPr>
          <w:rFonts w:ascii="Calibri" w:eastAsiaTheme="minorHAnsi" w:hAnsi="Calibri" w:cs="Calibri"/>
        </w:rPr>
        <w:t xml:space="preserve"> 2–4) announces the birth of a ruler from a renowned family of old (that of David) in Bethlehem. He will feed his flock and make them dwell securely, as would a good shepherd. He will be great to the ends of the earth, strengthened by the Lord and reflecting God’s glory.</w:t>
      </w:r>
      <w:r w:rsidR="00903DA2" w:rsidRPr="00903DA2">
        <w:rPr>
          <w:rFonts w:ascii="Calibri" w:eastAsiaTheme="minorHAnsi" w:hAnsi="Calibri" w:cs="Calibri"/>
          <w:vertAlign w:val="superscript"/>
        </w:rPr>
        <w:footnoteReference w:id="5"/>
      </w:r>
      <w:r w:rsidR="00903DA2" w:rsidRPr="00903DA2">
        <w:t xml:space="preserve"> </w:t>
      </w:r>
      <w:r w:rsidR="00903DA2" w:rsidRPr="00903DA2">
        <w:rPr>
          <w:rFonts w:ascii="Calibri" w:eastAsiaTheme="minorHAnsi" w:hAnsi="Calibri" w:cs="Calibri"/>
        </w:rPr>
        <w:t xml:space="preserve">In Jer 23:1–4, the shepherds are accused of neglecting their duty and scattering the flock. The Lord </w:t>
      </w:r>
      <w:r w:rsidR="00903DA2" w:rsidRPr="00903DA2">
        <w:rPr>
          <w:rFonts w:ascii="Calibri" w:eastAsiaTheme="minorHAnsi" w:hAnsi="Calibri" w:cs="Calibri"/>
        </w:rPr>
        <w:lastRenderedPageBreak/>
        <w:t xml:space="preserve">will bring his people back and appoint new and more responsible shepherds. In </w:t>
      </w:r>
      <w:proofErr w:type="spellStart"/>
      <w:r w:rsidR="00903DA2" w:rsidRPr="00903DA2">
        <w:rPr>
          <w:rFonts w:ascii="Calibri" w:eastAsiaTheme="minorHAnsi" w:hAnsi="Calibri" w:cs="Calibri"/>
        </w:rPr>
        <w:t>vv</w:t>
      </w:r>
      <w:proofErr w:type="spellEnd"/>
      <w:r w:rsidR="00903DA2" w:rsidRPr="00903DA2">
        <w:rPr>
          <w:rFonts w:ascii="Calibri" w:eastAsiaTheme="minorHAnsi" w:hAnsi="Calibri" w:cs="Calibri"/>
        </w:rPr>
        <w:t xml:space="preserve"> 5–6 the coming of a righteous “Branch” for David is announced. He will reign as king and execute justice and righteousness, and Judah and Israel will dwell together securely. His name will be “the Lord is our righteousness”</w:t>
      </w:r>
    </w:p>
    <w:p w:rsidR="00903DA2" w:rsidRPr="000F7696" w:rsidRDefault="00903DA2" w:rsidP="000F7696">
      <w:pPr>
        <w:pStyle w:val="NormalWeb"/>
        <w:jc w:val="both"/>
        <w:rPr>
          <w:rFonts w:asciiTheme="minorHAnsi" w:hAnsiTheme="minorHAnsi" w:cstheme="minorHAnsi"/>
        </w:rPr>
      </w:pPr>
      <w:r w:rsidRPr="00903DA2">
        <w:rPr>
          <w:rFonts w:ascii="Calibri" w:eastAsiaTheme="minorHAnsi" w:hAnsi="Calibri" w:cs="Calibri"/>
        </w:rPr>
        <w:t>In summary, the prophecies listed in this section announce a decisive and lasting change in the plight of the people, brought about by God. War will end, peace and plenty will be restored, Israel and Judah will be reunited, people in Exile will return; salvation has worldwide dimensions. A new era is inaugurated that will never end; it is absolutely unthinkable that God would allow the earlier situation to return. In these prophecies, the central figure is a descendant of David who represents an ideal of kingship in the name of YHWH</w:t>
      </w:r>
      <w:r>
        <w:rPr>
          <w:rFonts w:asciiTheme="minorHAnsi" w:hAnsiTheme="minorHAnsi" w:cstheme="minorHAnsi"/>
        </w:rPr>
        <w:t>. There is an eschatological tone to these prophetic oracles which will manifest in later expectations of the Messiah in later generations of Hebrews especially in the 1</w:t>
      </w:r>
      <w:r w:rsidRPr="00903DA2">
        <w:rPr>
          <w:rFonts w:asciiTheme="minorHAnsi" w:hAnsiTheme="minorHAnsi" w:cstheme="minorHAnsi"/>
          <w:vertAlign w:val="superscript"/>
        </w:rPr>
        <w:t>st</w:t>
      </w:r>
      <w:r>
        <w:rPr>
          <w:rFonts w:asciiTheme="minorHAnsi" w:hAnsiTheme="minorHAnsi" w:cstheme="minorHAnsi"/>
        </w:rPr>
        <w:t xml:space="preserve"> century AD. </w:t>
      </w:r>
    </w:p>
    <w:p w:rsidR="000F7696" w:rsidRPr="000F7696" w:rsidRDefault="000F7696" w:rsidP="000F7696">
      <w:pPr>
        <w:pStyle w:val="NormalWeb"/>
        <w:spacing w:before="0" w:beforeAutospacing="0"/>
        <w:jc w:val="both"/>
        <w:rPr>
          <w:rFonts w:asciiTheme="minorHAnsi" w:hAnsiTheme="minorHAnsi" w:cstheme="minorHAnsi"/>
        </w:rPr>
      </w:pPr>
      <w:r w:rsidRPr="000F7696">
        <w:rPr>
          <w:rFonts w:asciiTheme="minorHAnsi" w:hAnsiTheme="minorHAnsi" w:cstheme="minorHAnsi"/>
        </w:rPr>
        <w:t xml:space="preserve">The Title of </w:t>
      </w:r>
      <w:r w:rsidRPr="000F7696">
        <w:rPr>
          <w:rFonts w:asciiTheme="minorHAnsi" w:hAnsiTheme="minorHAnsi" w:cstheme="minorHAnsi"/>
          <w:i/>
        </w:rPr>
        <w:t>mašîaḥ</w:t>
      </w:r>
      <w:r w:rsidRPr="000F7696">
        <w:rPr>
          <w:rFonts w:asciiTheme="minorHAnsi" w:hAnsiTheme="minorHAnsi" w:cstheme="minorHAnsi"/>
        </w:rPr>
        <w:t xml:space="preserve"> in Late Texts </w:t>
      </w:r>
    </w:p>
    <w:p w:rsidR="000F7696" w:rsidRPr="000F7696" w:rsidRDefault="000F7696" w:rsidP="000F7696">
      <w:pPr>
        <w:pStyle w:val="NormalWeb"/>
        <w:spacing w:before="0" w:beforeAutospacing="0"/>
        <w:jc w:val="both"/>
        <w:rPr>
          <w:rFonts w:asciiTheme="minorHAnsi" w:hAnsiTheme="minorHAnsi" w:cstheme="minorHAnsi"/>
        </w:rPr>
      </w:pPr>
      <w:r w:rsidRPr="000F7696">
        <w:rPr>
          <w:rFonts w:asciiTheme="minorHAnsi" w:hAnsiTheme="minorHAnsi" w:cstheme="minorHAnsi"/>
        </w:rPr>
        <w:t>In late P and Apocalyptic Literature, this title refers to the high priest (cf. Lev 4:3, 5, 16; 6:15) which belong to late strata of P. In these texts, the phrase seems to have become a technical term which does not have any particular reference to the pre-exilic royal title.</w:t>
      </w:r>
      <w:r>
        <w:rPr>
          <w:rFonts w:asciiTheme="minorHAnsi" w:hAnsiTheme="minorHAnsi" w:cstheme="minorHAnsi"/>
        </w:rPr>
        <w:t xml:space="preserve"> It is clear that the intertestamental references to the Messiah refer more to the pre-exilic royal Jerusalem theology which highlighted the special place of the king in relationship with Yhwh. </w:t>
      </w:r>
    </w:p>
    <w:p w:rsidR="000F7696" w:rsidRDefault="00903DA2" w:rsidP="006D648E">
      <w:pPr>
        <w:jc w:val="both"/>
      </w:pPr>
      <w:proofErr w:type="spellStart"/>
      <w:r>
        <w:t>Annointed</w:t>
      </w:r>
      <w:proofErr w:type="spellEnd"/>
      <w:r>
        <w:t xml:space="preserve"> Ones in Early Judaism (200 BC – 100 AD)</w:t>
      </w:r>
    </w:p>
    <w:p w:rsidR="00903DA2" w:rsidRDefault="00903DA2" w:rsidP="006D648E">
      <w:pPr>
        <w:jc w:val="both"/>
      </w:pPr>
    </w:p>
    <w:p w:rsidR="00903DA2" w:rsidRDefault="00903DA2" w:rsidP="00903DA2">
      <w:pPr>
        <w:pStyle w:val="ListParagraph"/>
        <w:numPr>
          <w:ilvl w:val="0"/>
          <w:numId w:val="2"/>
        </w:numPr>
        <w:jc w:val="both"/>
      </w:pPr>
      <w:r>
        <w:t>Ben-Sirach</w:t>
      </w:r>
    </w:p>
    <w:p w:rsidR="00903DA2" w:rsidRDefault="00903DA2" w:rsidP="00903DA2">
      <w:pPr>
        <w:jc w:val="both"/>
      </w:pPr>
    </w:p>
    <w:p w:rsidR="00903DA2" w:rsidRDefault="00903DA2" w:rsidP="00903DA2">
      <w:pPr>
        <w:jc w:val="both"/>
        <w:rPr>
          <w:rFonts w:ascii="Calibri" w:hAnsi="Calibri" w:cs="Calibri"/>
          <w:vertAlign w:val="superscript"/>
        </w:rPr>
      </w:pPr>
      <w:r w:rsidRPr="00903DA2">
        <w:rPr>
          <w:rFonts w:ascii="Calibri" w:hAnsi="Calibri" w:cs="Calibri"/>
        </w:rPr>
        <w:t>In Sir 36:1–17 a prayer is given for the deliverance and restoration of Israel in which God is expected to act himself, without any mediator. The verb “to anoint” occurs a few times in the Praise of the Fathers (chapters 44–50). Moses ordained and anointed Aaron with holy oil (45:15), Samuel established the kingdom and anointed rulers over his people (46:13), and Elijah is the one “who anointed kings … and prophets” (48:8; cf. 1 Kgs 19:15–16). In 46:19 we find the expression “the Lord and his anointed” in a reference to 1 Sam 12:5.</w:t>
      </w:r>
    </w:p>
    <w:p w:rsidR="00903DA2" w:rsidRDefault="00903DA2" w:rsidP="00903DA2">
      <w:pPr>
        <w:jc w:val="both"/>
      </w:pPr>
    </w:p>
    <w:p w:rsidR="00903DA2" w:rsidRDefault="00903DA2" w:rsidP="00903DA2">
      <w:pPr>
        <w:pStyle w:val="ListParagraph"/>
        <w:numPr>
          <w:ilvl w:val="0"/>
          <w:numId w:val="2"/>
        </w:numPr>
        <w:jc w:val="both"/>
      </w:pPr>
      <w:r>
        <w:t>1-2 Maccabees</w:t>
      </w:r>
    </w:p>
    <w:p w:rsidR="00903DA2" w:rsidRDefault="00903DA2" w:rsidP="00903DA2">
      <w:pPr>
        <w:jc w:val="both"/>
      </w:pPr>
    </w:p>
    <w:p w:rsidR="00903DA2" w:rsidRPr="00903DA2" w:rsidRDefault="00903DA2" w:rsidP="00903DA2">
      <w:pPr>
        <w:autoSpaceDE w:val="0"/>
        <w:autoSpaceDN w:val="0"/>
        <w:adjustRightInd w:val="0"/>
        <w:ind w:firstLine="360"/>
        <w:jc w:val="both"/>
        <w:rPr>
          <w:rFonts w:ascii="Calibri" w:hAnsi="Calibri" w:cs="Calibri"/>
        </w:rPr>
      </w:pPr>
      <w:r>
        <w:t xml:space="preserve">It is relevant to note that Mattathias’ resistance against the measures of the Syrian king is said to have been motivated by “zeal for the law” (1 </w:t>
      </w:r>
      <w:proofErr w:type="spellStart"/>
      <w:r>
        <w:t>Macc</w:t>
      </w:r>
      <w:proofErr w:type="spellEnd"/>
      <w:r>
        <w:t xml:space="preserve"> 2:26, 27). He follows the example of Phinehas (2:26), who in Mattathias’ “testament” (2:49–70) is called “our father” (v 54). Again, it is stressed that he was deeply zealous and received the covenant of eternal priesthood. </w:t>
      </w:r>
      <w:r>
        <w:rPr>
          <w:vertAlign w:val="superscript"/>
        </w:rPr>
        <w:footnoteReference w:id="6"/>
      </w:r>
      <w:r w:rsidRPr="00903DA2">
        <w:rPr>
          <w:rFonts w:ascii="Calibri" w:hAnsi="Calibri" w:cs="Calibri"/>
        </w:rPr>
        <w:t xml:space="preserve"> The book of 1 Maccabees was written to legitimize the Hasmoneans’ leadership in cultic and political matters, as high priests and princes (soon to be called “kings”). This leadership lasted until the days of Herod the Great, but it was not undisputed by those who questioned the legitimacy of the Hasmoneans and/or were opposed to the fact that they combined the two offices.</w:t>
      </w:r>
    </w:p>
    <w:p w:rsidR="00903DA2" w:rsidRDefault="00903DA2" w:rsidP="00903DA2">
      <w:pPr>
        <w:autoSpaceDE w:val="0"/>
        <w:autoSpaceDN w:val="0"/>
        <w:adjustRightInd w:val="0"/>
        <w:ind w:firstLine="360"/>
        <w:jc w:val="both"/>
        <w:rPr>
          <w:rFonts w:ascii="Calibri" w:hAnsi="Calibri" w:cs="Calibri"/>
        </w:rPr>
      </w:pPr>
      <w:r w:rsidRPr="00903DA2">
        <w:rPr>
          <w:rFonts w:ascii="Calibri" w:hAnsi="Calibri" w:cs="Calibri"/>
        </w:rPr>
        <w:lastRenderedPageBreak/>
        <w:t>The book of 2 Maccabees covers a much shorter period than 1 Maccabees. One should note that the second of the two letters in chap. 1 is addressed to, among others, “</w:t>
      </w:r>
      <w:proofErr w:type="spellStart"/>
      <w:r w:rsidRPr="00903DA2">
        <w:rPr>
          <w:rFonts w:ascii="Calibri" w:hAnsi="Calibri" w:cs="Calibri"/>
        </w:rPr>
        <w:t>Aristobulus</w:t>
      </w:r>
      <w:proofErr w:type="spellEnd"/>
      <w:r w:rsidRPr="00903DA2">
        <w:rPr>
          <w:rFonts w:ascii="Calibri" w:hAnsi="Calibri" w:cs="Calibri"/>
        </w:rPr>
        <w:t xml:space="preserve"> who is of the family of the anointed priests” (1:10); i.e., the legitimate high-priestly family of the </w:t>
      </w:r>
      <w:proofErr w:type="spellStart"/>
      <w:r w:rsidRPr="00903DA2">
        <w:rPr>
          <w:rFonts w:ascii="Calibri" w:hAnsi="Calibri" w:cs="Calibri"/>
        </w:rPr>
        <w:t>Zadokites</w:t>
      </w:r>
      <w:proofErr w:type="spellEnd"/>
      <w:r w:rsidRPr="00903DA2">
        <w:rPr>
          <w:rFonts w:ascii="Calibri" w:hAnsi="Calibri" w:cs="Calibri"/>
        </w:rPr>
        <w:t xml:space="preserve"> to whom </w:t>
      </w:r>
      <w:proofErr w:type="spellStart"/>
      <w:r w:rsidRPr="00903DA2">
        <w:rPr>
          <w:rFonts w:ascii="Calibri" w:hAnsi="Calibri" w:cs="Calibri"/>
        </w:rPr>
        <w:t>Onias</w:t>
      </w:r>
      <w:proofErr w:type="spellEnd"/>
      <w:r w:rsidRPr="00903DA2">
        <w:rPr>
          <w:rFonts w:ascii="Calibri" w:hAnsi="Calibri" w:cs="Calibri"/>
        </w:rPr>
        <w:t>, son of the Simon (Sirach 50), belonged</w:t>
      </w:r>
      <w:r w:rsidRPr="00903DA2">
        <w:rPr>
          <w:rFonts w:ascii="Calibri" w:hAnsi="Calibri" w:cs="Calibri"/>
          <w:vertAlign w:val="superscript"/>
        </w:rPr>
        <w:footnoteReference w:id="7"/>
      </w:r>
    </w:p>
    <w:p w:rsidR="00903DA2" w:rsidRDefault="00903DA2" w:rsidP="00903DA2">
      <w:pPr>
        <w:autoSpaceDE w:val="0"/>
        <w:autoSpaceDN w:val="0"/>
        <w:adjustRightInd w:val="0"/>
        <w:jc w:val="both"/>
        <w:rPr>
          <w:rFonts w:ascii="Calibri" w:hAnsi="Calibri" w:cs="Calibri"/>
        </w:rPr>
      </w:pPr>
    </w:p>
    <w:p w:rsidR="00903DA2" w:rsidRDefault="00903DA2" w:rsidP="00903DA2">
      <w:pPr>
        <w:jc w:val="both"/>
        <w:rPr>
          <w:rFonts w:ascii="Calibri" w:hAnsi="Calibri" w:cs="Calibri"/>
        </w:rPr>
      </w:pPr>
      <w:r>
        <w:rPr>
          <w:rFonts w:ascii="Calibri" w:hAnsi="Calibri" w:cs="Calibri"/>
        </w:rPr>
        <w:t>Jesus, the Messiah in the Line of OT Tradition</w:t>
      </w:r>
    </w:p>
    <w:p w:rsidR="00903DA2" w:rsidRDefault="00903DA2" w:rsidP="00903DA2">
      <w:pPr>
        <w:jc w:val="both"/>
      </w:pPr>
    </w:p>
    <w:p w:rsidR="00903DA2" w:rsidRDefault="00903DA2" w:rsidP="00903DA2">
      <w:pPr>
        <w:jc w:val="both"/>
        <w:rPr>
          <w:rFonts w:ascii="Calibri" w:hAnsi="Calibri" w:cs="Calibri"/>
        </w:rPr>
      </w:pPr>
      <w:r w:rsidRPr="00903DA2">
        <w:rPr>
          <w:rFonts w:ascii="Calibri" w:hAnsi="Calibri" w:cs="Calibri"/>
        </w:rPr>
        <w:t>The followers of Jesus of Nazareth regarded him as the Messiah expected by Israel.</w:t>
      </w:r>
      <w:r w:rsidRPr="00903DA2">
        <w:rPr>
          <w:rFonts w:ascii="Calibri" w:hAnsi="Calibri" w:cs="Calibri"/>
          <w:vertAlign w:val="superscript"/>
        </w:rPr>
        <w:footnoteReference w:id="8"/>
      </w:r>
      <w:r>
        <w:rPr>
          <w:rFonts w:ascii="Calibri" w:hAnsi="Calibri" w:cs="Calibri"/>
        </w:rPr>
        <w:t xml:space="preserve"> </w:t>
      </w:r>
      <w:r w:rsidRPr="00903DA2">
        <w:rPr>
          <w:rFonts w:ascii="Calibri" w:hAnsi="Calibri" w:cs="Calibri"/>
        </w:rPr>
        <w:t xml:space="preserve">In Mark 12:35, Jesus questions the obviously common conception of the scribes that “the Christ is the son of David”; in Mark 15:32, the chief priests and the scribes speak of “the Christ, the King of Israel.” In the </w:t>
      </w:r>
      <w:proofErr w:type="spellStart"/>
      <w:r w:rsidRPr="00903DA2">
        <w:rPr>
          <w:rFonts w:ascii="Calibri" w:hAnsi="Calibri" w:cs="Calibri"/>
        </w:rPr>
        <w:t>Markan</w:t>
      </w:r>
      <w:proofErr w:type="spellEnd"/>
      <w:r w:rsidRPr="00903DA2">
        <w:rPr>
          <w:rFonts w:ascii="Calibri" w:hAnsi="Calibri" w:cs="Calibri"/>
        </w:rPr>
        <w:t xml:space="preserve"> passion story, much emphasis is placed on the fact that Jesus is the Christ and may be called King of the Jews, but without any political overtones that would justify his crucifixion. </w:t>
      </w:r>
      <w:r w:rsidRPr="00903DA2">
        <w:rPr>
          <w:rFonts w:ascii="Calibri" w:hAnsi="Calibri" w:cs="Calibri"/>
          <w:vertAlign w:val="superscript"/>
        </w:rPr>
        <w:footnoteReference w:id="9"/>
      </w:r>
    </w:p>
    <w:p w:rsidR="00903DA2" w:rsidRDefault="00903DA2" w:rsidP="00903DA2">
      <w:pPr>
        <w:jc w:val="both"/>
      </w:pPr>
    </w:p>
    <w:p w:rsidR="00903DA2" w:rsidRDefault="00903DA2" w:rsidP="00903DA2">
      <w:pPr>
        <w:jc w:val="both"/>
      </w:pPr>
      <w:r>
        <w:t xml:space="preserve">Jesus as the Messiah is an idea which developed from OT royal Jerusalem ideology rooted in the promise made to David in 2 Sam 7. Even though the Psalms most of the time refer to a reigning Davidic king, these Psalms must have helped shape the future expectation of a Davidic king. The disciples of Jesus appear to have been shaped by the OT tradition which associates this expectation to kingship and kingdoms. This is typified in the request made by the Zebedee brothers to Jesus regarding sitting in his right and his left in his kingdom. However, there are a number of prophetic traditions which speak of this future king in a way that suggests an eschatological dimension to his coming. For this reason, the eschatological import of the coming of Jesus as the king who is of the stock of David </w:t>
      </w:r>
      <w:r w:rsidR="004C632D">
        <w:t>also has OT roots</w:t>
      </w:r>
      <w:r>
        <w:t xml:space="preserve">. When Isaiah therefore spoke of the king who will reign with Justice in Isa 16 and 32, he speaks of this future king whom NT writers </w:t>
      </w:r>
      <w:proofErr w:type="spellStart"/>
      <w:r>
        <w:t>interprete</w:t>
      </w:r>
      <w:proofErr w:type="spellEnd"/>
      <w:r>
        <w:t xml:space="preserve"> as Jesus.</w:t>
      </w:r>
      <w:bookmarkStart w:id="0" w:name="_GoBack"/>
      <w:bookmarkEnd w:id="0"/>
      <w:r>
        <w:t xml:space="preserve"> This is the reason why the genealogy of Jesus seeks to trace him </w:t>
      </w:r>
      <w:r w:rsidR="004C632D">
        <w:t xml:space="preserve">to </w:t>
      </w:r>
      <w:r>
        <w:t xml:space="preserve">David in order to justify his messianic status because in him, this eschatological promise of God’s redemption is finally fulfilled. </w:t>
      </w:r>
    </w:p>
    <w:p w:rsidR="002D0D10" w:rsidRDefault="002D0D10" w:rsidP="006D648E">
      <w:pPr>
        <w:jc w:val="both"/>
      </w:pPr>
    </w:p>
    <w:p w:rsidR="00692B26" w:rsidRDefault="00692B26" w:rsidP="006D648E">
      <w:pPr>
        <w:jc w:val="both"/>
      </w:pPr>
    </w:p>
    <w:p w:rsidR="00692B26" w:rsidRDefault="00692B26" w:rsidP="006D648E">
      <w:pPr>
        <w:jc w:val="both"/>
      </w:pPr>
    </w:p>
    <w:sectPr w:rsidR="00692B26"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290" w:rsidRDefault="00ED6290" w:rsidP="000F7696">
      <w:r>
        <w:separator/>
      </w:r>
    </w:p>
  </w:endnote>
  <w:endnote w:type="continuationSeparator" w:id="0">
    <w:p w:rsidR="00ED6290" w:rsidRDefault="00ED6290" w:rsidP="000F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290" w:rsidRDefault="00ED6290" w:rsidP="000F7696">
      <w:r>
        <w:separator/>
      </w:r>
    </w:p>
  </w:footnote>
  <w:footnote w:type="continuationSeparator" w:id="0">
    <w:p w:rsidR="00ED6290" w:rsidRDefault="00ED6290" w:rsidP="000F7696">
      <w:r>
        <w:continuationSeparator/>
      </w:r>
    </w:p>
  </w:footnote>
  <w:footnote w:id="1">
    <w:p w:rsidR="000F7696" w:rsidRDefault="000F7696">
      <w:pPr>
        <w:pStyle w:val="FootnoteText"/>
      </w:pPr>
      <w:r>
        <w:rPr>
          <w:rStyle w:val="FootnoteReference"/>
        </w:rPr>
        <w:footnoteRef/>
      </w:r>
      <w:r>
        <w:t xml:space="preserve"> </w:t>
      </w:r>
      <w:proofErr w:type="spellStart"/>
      <w:r>
        <w:t>Sybold</w:t>
      </w:r>
      <w:proofErr w:type="spellEnd"/>
      <w:r>
        <w:t>, “</w:t>
      </w:r>
      <w:proofErr w:type="spellStart"/>
      <w:r>
        <w:t>Masiah</w:t>
      </w:r>
      <w:proofErr w:type="spellEnd"/>
      <w:r>
        <w:t>”, TDOT IX, 53.</w:t>
      </w:r>
    </w:p>
  </w:footnote>
  <w:footnote w:id="2">
    <w:p w:rsidR="000F7696" w:rsidRDefault="000F7696">
      <w:pPr>
        <w:pStyle w:val="FootnoteText"/>
      </w:pPr>
      <w:r>
        <w:rPr>
          <w:rStyle w:val="FootnoteReference"/>
        </w:rPr>
        <w:footnoteRef/>
      </w:r>
      <w:r>
        <w:t xml:space="preserve"> </w:t>
      </w:r>
      <w:proofErr w:type="spellStart"/>
      <w:r>
        <w:t>Sybold</w:t>
      </w:r>
      <w:proofErr w:type="spellEnd"/>
      <w:r>
        <w:t>, “</w:t>
      </w:r>
      <w:proofErr w:type="spellStart"/>
      <w:r>
        <w:t>Masiah</w:t>
      </w:r>
      <w:proofErr w:type="spellEnd"/>
      <w:r>
        <w:t>”, TDOT IX, 53.</w:t>
      </w:r>
    </w:p>
  </w:footnote>
  <w:footnote w:id="3">
    <w:p w:rsidR="000F7696" w:rsidRDefault="000F7696" w:rsidP="000F7696">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1" w:history="1">
        <w:r>
          <w:rPr>
            <w:color w:val="0000FF"/>
            <w:u w:val="single"/>
          </w:rPr>
          <w:t>Messiah</w:t>
        </w:r>
      </w:hyperlink>
      <w:r>
        <w:t xml:space="preserve">”, </w:t>
      </w:r>
      <w:r>
        <w:rPr>
          <w:i/>
        </w:rPr>
        <w:t>The Anchor Yale Bible Dictionary</w:t>
      </w:r>
      <w:r>
        <w:t xml:space="preserve"> 4, 780.</w:t>
      </w:r>
    </w:p>
  </w:footnote>
  <w:footnote w:id="4">
    <w:p w:rsidR="000F7696" w:rsidRDefault="000F7696" w:rsidP="000F7696">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2" w:history="1">
        <w:r>
          <w:rPr>
            <w:color w:val="0000FF"/>
            <w:u w:val="single"/>
          </w:rPr>
          <w:t>Messiah</w:t>
        </w:r>
      </w:hyperlink>
      <w:r>
        <w:t xml:space="preserve">”, </w:t>
      </w:r>
      <w:r>
        <w:rPr>
          <w:i/>
        </w:rPr>
        <w:t>The Anchor Yale Bible Dictionary</w:t>
      </w:r>
      <w:r>
        <w:t xml:space="preserve"> 4, 780.</w:t>
      </w:r>
    </w:p>
  </w:footnote>
  <w:footnote w:id="5">
    <w:p w:rsidR="00903DA2" w:rsidRDefault="00903DA2" w:rsidP="00903DA2">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3" w:history="1">
        <w:r>
          <w:rPr>
            <w:color w:val="0000FF"/>
            <w:u w:val="single"/>
          </w:rPr>
          <w:t>Messiah</w:t>
        </w:r>
      </w:hyperlink>
      <w:r>
        <w:t xml:space="preserve">”, </w:t>
      </w:r>
      <w:r>
        <w:rPr>
          <w:i/>
        </w:rPr>
        <w:t>The Anchor Yale Bible Dictionary</w:t>
      </w:r>
      <w:r>
        <w:t xml:space="preserve"> 4, 780.</w:t>
      </w:r>
    </w:p>
  </w:footnote>
  <w:footnote w:id="6">
    <w:p w:rsidR="00903DA2" w:rsidRDefault="00903DA2" w:rsidP="00903DA2">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4" w:history="1">
        <w:r>
          <w:rPr>
            <w:color w:val="0000FF"/>
            <w:u w:val="single"/>
          </w:rPr>
          <w:t>Messiah</w:t>
        </w:r>
      </w:hyperlink>
      <w:r>
        <w:t xml:space="preserve">”, </w:t>
      </w:r>
      <w:r>
        <w:rPr>
          <w:i/>
        </w:rPr>
        <w:t>The Anchor Yale Bible Dictionary</w:t>
      </w:r>
      <w:r>
        <w:t xml:space="preserve"> 4, 781.</w:t>
      </w:r>
    </w:p>
  </w:footnote>
  <w:footnote w:id="7">
    <w:p w:rsidR="00903DA2" w:rsidRDefault="00903DA2" w:rsidP="00903DA2">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5" w:history="1">
        <w:r>
          <w:rPr>
            <w:color w:val="0000FF"/>
            <w:u w:val="single"/>
          </w:rPr>
          <w:t>Messiah</w:t>
        </w:r>
      </w:hyperlink>
      <w:r>
        <w:t xml:space="preserve">”, </w:t>
      </w:r>
      <w:r>
        <w:rPr>
          <w:i/>
        </w:rPr>
        <w:t>The Anchor Yale Bible Dictionary</w:t>
      </w:r>
      <w:r>
        <w:t xml:space="preserve"> 4, 781-782.</w:t>
      </w:r>
    </w:p>
  </w:footnote>
  <w:footnote w:id="8">
    <w:p w:rsidR="00903DA2" w:rsidRDefault="00903DA2" w:rsidP="00903DA2">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6" w:history="1">
        <w:r>
          <w:rPr>
            <w:color w:val="0000FF"/>
            <w:u w:val="single"/>
          </w:rPr>
          <w:t>Messiah</w:t>
        </w:r>
      </w:hyperlink>
      <w:r>
        <w:t xml:space="preserve">”, </w:t>
      </w:r>
      <w:r>
        <w:rPr>
          <w:i/>
        </w:rPr>
        <w:t>The Anchor Yale Bible Dictionary</w:t>
      </w:r>
      <w:r>
        <w:t xml:space="preserve"> 4, 784.</w:t>
      </w:r>
    </w:p>
  </w:footnote>
  <w:footnote w:id="9">
    <w:p w:rsidR="00903DA2" w:rsidRDefault="00903DA2" w:rsidP="00903DA2">
      <w:r>
        <w:rPr>
          <w:vertAlign w:val="superscript"/>
        </w:rPr>
        <w:footnoteRef/>
      </w:r>
      <w:r>
        <w:t xml:space="preserve"> </w:t>
      </w:r>
      <w:r>
        <w:rPr>
          <w:smallCaps/>
        </w:rPr>
        <w:t xml:space="preserve">De </w:t>
      </w:r>
      <w:proofErr w:type="spellStart"/>
      <w:r>
        <w:rPr>
          <w:smallCaps/>
        </w:rPr>
        <w:t>Jonge</w:t>
      </w:r>
      <w:proofErr w:type="spellEnd"/>
      <w:r>
        <w:rPr>
          <w:smallCaps/>
        </w:rPr>
        <w:t>, M.</w:t>
      </w:r>
      <w:r>
        <w:t>, “</w:t>
      </w:r>
      <w:hyperlink r:id="rId7" w:history="1">
        <w:r>
          <w:rPr>
            <w:color w:val="0000FF"/>
            <w:u w:val="single"/>
          </w:rPr>
          <w:t>Messiah</w:t>
        </w:r>
      </w:hyperlink>
      <w:r>
        <w:t xml:space="preserve">”, </w:t>
      </w:r>
      <w:r>
        <w:rPr>
          <w:i/>
        </w:rPr>
        <w:t>The Anchor Yale Bible Dictionary</w:t>
      </w:r>
      <w:r>
        <w:t xml:space="preserve"> 4, 784.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8ED"/>
    <w:multiLevelType w:val="hybridMultilevel"/>
    <w:tmpl w:val="350EC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269EA"/>
    <w:multiLevelType w:val="hybridMultilevel"/>
    <w:tmpl w:val="7348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A7"/>
    <w:rsid w:val="000D0346"/>
    <w:rsid w:val="000E311F"/>
    <w:rsid w:val="000F7696"/>
    <w:rsid w:val="002D0D10"/>
    <w:rsid w:val="00321750"/>
    <w:rsid w:val="004C632D"/>
    <w:rsid w:val="004F55C6"/>
    <w:rsid w:val="00552DA7"/>
    <w:rsid w:val="005F2B49"/>
    <w:rsid w:val="00692B26"/>
    <w:rsid w:val="006D648E"/>
    <w:rsid w:val="006F790C"/>
    <w:rsid w:val="00903DA2"/>
    <w:rsid w:val="009131BF"/>
    <w:rsid w:val="00AC1ED2"/>
    <w:rsid w:val="00C52851"/>
    <w:rsid w:val="00D51BD5"/>
    <w:rsid w:val="00E60AFE"/>
    <w:rsid w:val="00ED6290"/>
    <w:rsid w:val="00F0261F"/>
    <w:rsid w:val="00FC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22406A"/>
  <w15:chartTrackingRefBased/>
  <w15:docId w15:val="{526C02B3-420B-DC4C-B477-6B5B7249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D10"/>
    <w:pPr>
      <w:ind w:left="720"/>
      <w:contextualSpacing/>
    </w:pPr>
  </w:style>
  <w:style w:type="paragraph" w:styleId="FootnoteText">
    <w:name w:val="footnote text"/>
    <w:basedOn w:val="Normal"/>
    <w:link w:val="FootnoteTextChar"/>
    <w:uiPriority w:val="99"/>
    <w:semiHidden/>
    <w:unhideWhenUsed/>
    <w:rsid w:val="000F7696"/>
    <w:rPr>
      <w:sz w:val="20"/>
      <w:szCs w:val="20"/>
    </w:rPr>
  </w:style>
  <w:style w:type="character" w:customStyle="1" w:styleId="FootnoteTextChar">
    <w:name w:val="Footnote Text Char"/>
    <w:basedOn w:val="DefaultParagraphFont"/>
    <w:link w:val="FootnoteText"/>
    <w:uiPriority w:val="99"/>
    <w:semiHidden/>
    <w:rsid w:val="000F7696"/>
    <w:rPr>
      <w:sz w:val="20"/>
      <w:szCs w:val="20"/>
    </w:rPr>
  </w:style>
  <w:style w:type="character" w:styleId="FootnoteReference">
    <w:name w:val="footnote reference"/>
    <w:basedOn w:val="DefaultParagraphFont"/>
    <w:uiPriority w:val="99"/>
    <w:semiHidden/>
    <w:unhideWhenUsed/>
    <w:rsid w:val="000F7696"/>
    <w:rPr>
      <w:vertAlign w:val="superscript"/>
    </w:rPr>
  </w:style>
  <w:style w:type="paragraph" w:styleId="NormalWeb">
    <w:name w:val="Normal (Web)"/>
    <w:basedOn w:val="Normal"/>
    <w:uiPriority w:val="99"/>
    <w:unhideWhenUsed/>
    <w:rsid w:val="000F769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73466">
      <w:bodyDiv w:val="1"/>
      <w:marLeft w:val="0"/>
      <w:marRight w:val="0"/>
      <w:marTop w:val="0"/>
      <w:marBottom w:val="0"/>
      <w:divBdr>
        <w:top w:val="none" w:sz="0" w:space="0" w:color="auto"/>
        <w:left w:val="none" w:sz="0" w:space="0" w:color="auto"/>
        <w:bottom w:val="none" w:sz="0" w:space="0" w:color="auto"/>
        <w:right w:val="none" w:sz="0" w:space="0" w:color="auto"/>
      </w:divBdr>
      <w:divsChild>
        <w:div w:id="147787265">
          <w:marLeft w:val="0"/>
          <w:marRight w:val="0"/>
          <w:marTop w:val="0"/>
          <w:marBottom w:val="0"/>
          <w:divBdr>
            <w:top w:val="none" w:sz="0" w:space="0" w:color="auto"/>
            <w:left w:val="none" w:sz="0" w:space="0" w:color="auto"/>
            <w:bottom w:val="none" w:sz="0" w:space="0" w:color="auto"/>
            <w:right w:val="none" w:sz="0" w:space="0" w:color="auto"/>
          </w:divBdr>
          <w:divsChild>
            <w:div w:id="1965430239">
              <w:marLeft w:val="0"/>
              <w:marRight w:val="0"/>
              <w:marTop w:val="0"/>
              <w:marBottom w:val="0"/>
              <w:divBdr>
                <w:top w:val="none" w:sz="0" w:space="0" w:color="auto"/>
                <w:left w:val="none" w:sz="0" w:space="0" w:color="auto"/>
                <w:bottom w:val="none" w:sz="0" w:space="0" w:color="auto"/>
                <w:right w:val="none" w:sz="0" w:space="0" w:color="auto"/>
              </w:divBdr>
              <w:divsChild>
                <w:div w:id="1722169781">
                  <w:marLeft w:val="0"/>
                  <w:marRight w:val="0"/>
                  <w:marTop w:val="0"/>
                  <w:marBottom w:val="0"/>
                  <w:divBdr>
                    <w:top w:val="none" w:sz="0" w:space="0" w:color="auto"/>
                    <w:left w:val="none" w:sz="0" w:space="0" w:color="auto"/>
                    <w:bottom w:val="none" w:sz="0" w:space="0" w:color="auto"/>
                    <w:right w:val="none" w:sz="0" w:space="0" w:color="auto"/>
                  </w:divBdr>
                  <w:divsChild>
                    <w:div w:id="8487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17549">
      <w:bodyDiv w:val="1"/>
      <w:marLeft w:val="0"/>
      <w:marRight w:val="0"/>
      <w:marTop w:val="0"/>
      <w:marBottom w:val="0"/>
      <w:divBdr>
        <w:top w:val="none" w:sz="0" w:space="0" w:color="auto"/>
        <w:left w:val="none" w:sz="0" w:space="0" w:color="auto"/>
        <w:bottom w:val="none" w:sz="0" w:space="0" w:color="auto"/>
        <w:right w:val="none" w:sz="0" w:space="0" w:color="auto"/>
      </w:divBdr>
      <w:divsChild>
        <w:div w:id="1910532039">
          <w:marLeft w:val="0"/>
          <w:marRight w:val="0"/>
          <w:marTop w:val="0"/>
          <w:marBottom w:val="0"/>
          <w:divBdr>
            <w:top w:val="none" w:sz="0" w:space="0" w:color="auto"/>
            <w:left w:val="none" w:sz="0" w:space="0" w:color="auto"/>
            <w:bottom w:val="none" w:sz="0" w:space="0" w:color="auto"/>
            <w:right w:val="none" w:sz="0" w:space="0" w:color="auto"/>
          </w:divBdr>
          <w:divsChild>
            <w:div w:id="501551305">
              <w:marLeft w:val="0"/>
              <w:marRight w:val="0"/>
              <w:marTop w:val="0"/>
              <w:marBottom w:val="0"/>
              <w:divBdr>
                <w:top w:val="none" w:sz="0" w:space="0" w:color="auto"/>
                <w:left w:val="none" w:sz="0" w:space="0" w:color="auto"/>
                <w:bottom w:val="none" w:sz="0" w:space="0" w:color="auto"/>
                <w:right w:val="none" w:sz="0" w:space="0" w:color="auto"/>
              </w:divBdr>
              <w:divsChild>
                <w:div w:id="338390828">
                  <w:marLeft w:val="0"/>
                  <w:marRight w:val="0"/>
                  <w:marTop w:val="0"/>
                  <w:marBottom w:val="0"/>
                  <w:divBdr>
                    <w:top w:val="none" w:sz="0" w:space="0" w:color="auto"/>
                    <w:left w:val="none" w:sz="0" w:space="0" w:color="auto"/>
                    <w:bottom w:val="none" w:sz="0" w:space="0" w:color="auto"/>
                    <w:right w:val="none" w:sz="0" w:space="0" w:color="auto"/>
                  </w:divBdr>
                  <w:divsChild>
                    <w:div w:id="172204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72518">
      <w:bodyDiv w:val="1"/>
      <w:marLeft w:val="0"/>
      <w:marRight w:val="0"/>
      <w:marTop w:val="0"/>
      <w:marBottom w:val="0"/>
      <w:divBdr>
        <w:top w:val="none" w:sz="0" w:space="0" w:color="auto"/>
        <w:left w:val="none" w:sz="0" w:space="0" w:color="auto"/>
        <w:bottom w:val="none" w:sz="0" w:space="0" w:color="auto"/>
        <w:right w:val="none" w:sz="0" w:space="0" w:color="auto"/>
      </w:divBdr>
      <w:divsChild>
        <w:div w:id="273026775">
          <w:marLeft w:val="0"/>
          <w:marRight w:val="0"/>
          <w:marTop w:val="0"/>
          <w:marBottom w:val="0"/>
          <w:divBdr>
            <w:top w:val="none" w:sz="0" w:space="0" w:color="auto"/>
            <w:left w:val="none" w:sz="0" w:space="0" w:color="auto"/>
            <w:bottom w:val="none" w:sz="0" w:space="0" w:color="auto"/>
            <w:right w:val="none" w:sz="0" w:space="0" w:color="auto"/>
          </w:divBdr>
          <w:divsChild>
            <w:div w:id="819349139">
              <w:marLeft w:val="0"/>
              <w:marRight w:val="0"/>
              <w:marTop w:val="0"/>
              <w:marBottom w:val="0"/>
              <w:divBdr>
                <w:top w:val="none" w:sz="0" w:space="0" w:color="auto"/>
                <w:left w:val="none" w:sz="0" w:space="0" w:color="auto"/>
                <w:bottom w:val="none" w:sz="0" w:space="0" w:color="auto"/>
                <w:right w:val="none" w:sz="0" w:space="0" w:color="auto"/>
              </w:divBdr>
              <w:divsChild>
                <w:div w:id="1648974565">
                  <w:marLeft w:val="0"/>
                  <w:marRight w:val="0"/>
                  <w:marTop w:val="0"/>
                  <w:marBottom w:val="0"/>
                  <w:divBdr>
                    <w:top w:val="none" w:sz="0" w:space="0" w:color="auto"/>
                    <w:left w:val="none" w:sz="0" w:space="0" w:color="auto"/>
                    <w:bottom w:val="none" w:sz="0" w:space="0" w:color="auto"/>
                    <w:right w:val="none" w:sz="0" w:space="0" w:color="auto"/>
                  </w:divBdr>
                  <w:divsChild>
                    <w:div w:id="233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anch?ref=VolumePage.V+4%2c+p+780&amp;off=3610&amp;ctx=ll+be+brought+back.%0a~The+passage+in+Mic+5" TargetMode="External"/><Relationship Id="rId7" Type="http://schemas.openxmlformats.org/officeDocument/2006/relationships/hyperlink" Target="https://ref.ly/logosres/anch?ref=VolumePage.V+4%2c+p+784&amp;off=6159&amp;ctx=y+further+addition.%0a~In+Mark+12:35%2c+Jesus" TargetMode="External"/><Relationship Id="rId2" Type="http://schemas.openxmlformats.org/officeDocument/2006/relationships/hyperlink" Target="https://ref.ly/logosres/anch?ref=VolumePage.V+4%2c+p+780&amp;off=2364&amp;ctx=ical+in+many+cases.%0a~In+the+much+disputed" TargetMode="External"/><Relationship Id="rId1" Type="http://schemas.openxmlformats.org/officeDocument/2006/relationships/hyperlink" Target="https://ref.ly/logosres/anch?ref=VolumePage.V+4%2c+p+780&amp;off=1612&amp;ctx=uture+Davidic+Kings%0a~Except+in+Isa+45:1+a" TargetMode="External"/><Relationship Id="rId6" Type="http://schemas.openxmlformats.org/officeDocument/2006/relationships/hyperlink" Target="https://ref.ly/logosres/anch?ref=VolumePage.V+4%2c+p+784&amp;off=5445&amp;ctx=+Christian+Sources.+~The+followers+of+Jes" TargetMode="External"/><Relationship Id="rId5" Type="http://schemas.openxmlformats.org/officeDocument/2006/relationships/hyperlink" Target="https://ref.ly/logosres/anch?ref=VolumePage.V+4%2c+p+781&amp;off=6404&amp;ctx=an+(cf.+also+4:46).%0a~The+book+of+1+Maccab" TargetMode="External"/><Relationship Id="rId4" Type="http://schemas.openxmlformats.org/officeDocument/2006/relationships/hyperlink" Target="https://ref.ly/logosres/anch?ref=VolumePage.V+4%2c+p+781&amp;off=5396&amp;ctx=the+present+purpose+~it+is+relevant+to+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C3A79-A88E-E343-B4E4-E020D292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2159</Words>
  <Characters>12308</Characters>
  <Application>Microsoft Office Word</Application>
  <DocSecurity>0</DocSecurity>
  <Lines>102</Lines>
  <Paragraphs>28</Paragraphs>
  <ScaleCrop>false</ScaleCrop>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20</cp:revision>
  <dcterms:created xsi:type="dcterms:W3CDTF">2020-12-02T15:48:00Z</dcterms:created>
  <dcterms:modified xsi:type="dcterms:W3CDTF">2020-12-06T10:39:00Z</dcterms:modified>
</cp:coreProperties>
</file>