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DC664" w14:textId="491BEBAA" w:rsidR="003B67EA" w:rsidRPr="004438CC" w:rsidRDefault="003B67EA" w:rsidP="00A2060F">
      <w:pPr>
        <w:jc w:val="center"/>
        <w:rPr>
          <w:rFonts w:ascii="Times New Roman" w:hAnsi="Times New Roman" w:cs="Times New Roman"/>
          <w:color w:val="000000" w:themeColor="text1"/>
        </w:rPr>
      </w:pPr>
      <w:r w:rsidRPr="004438CC">
        <w:rPr>
          <w:rFonts w:ascii="Times New Roman" w:hAnsi="Times New Roman" w:cs="Times New Roman"/>
          <w:color w:val="000000" w:themeColor="text1"/>
        </w:rPr>
        <w:t>THEOLOGY OF THE OLD TESTAMENT TH210</w:t>
      </w:r>
    </w:p>
    <w:p w14:paraId="70F62AC3" w14:textId="4F2CBD3C" w:rsidR="00A2060F" w:rsidRPr="004438CC" w:rsidRDefault="00836B61" w:rsidP="00A2060F">
      <w:pPr>
        <w:jc w:val="center"/>
        <w:rPr>
          <w:rFonts w:ascii="Times New Roman" w:hAnsi="Times New Roman" w:cs="Times New Roman"/>
          <w:color w:val="000000" w:themeColor="text1"/>
        </w:rPr>
      </w:pPr>
      <w:r w:rsidRPr="004438CC">
        <w:rPr>
          <w:rFonts w:ascii="Times New Roman" w:hAnsi="Times New Roman" w:cs="Times New Roman"/>
          <w:color w:val="000000" w:themeColor="text1"/>
        </w:rPr>
        <w:t>GENERAL INTRODUCTION:</w:t>
      </w:r>
    </w:p>
    <w:p w14:paraId="272AC403" w14:textId="77777777" w:rsidR="003B67EA" w:rsidRPr="004438CC" w:rsidRDefault="003B67EA" w:rsidP="003B67EA">
      <w:pPr>
        <w:jc w:val="center"/>
        <w:rPr>
          <w:rFonts w:ascii="Times New Roman" w:hAnsi="Times New Roman" w:cs="Times New Roman"/>
          <w:b/>
          <w:color w:val="000000" w:themeColor="text1"/>
        </w:rPr>
      </w:pPr>
      <w:r w:rsidRPr="004438CC">
        <w:rPr>
          <w:rFonts w:ascii="Times New Roman" w:hAnsi="Times New Roman" w:cs="Times New Roman"/>
          <w:b/>
          <w:color w:val="000000" w:themeColor="text1"/>
        </w:rPr>
        <w:t>Gregory Ezeokeke</w:t>
      </w:r>
    </w:p>
    <w:p w14:paraId="026496E5" w14:textId="79D09EAD" w:rsidR="003B67EA" w:rsidRPr="004438CC" w:rsidRDefault="006F54A7" w:rsidP="006F54A7">
      <w:pPr>
        <w:jc w:val="center"/>
        <w:rPr>
          <w:rFonts w:ascii="Times New Roman" w:hAnsi="Times New Roman" w:cs="Times New Roman"/>
          <w:color w:val="000000" w:themeColor="text1"/>
        </w:rPr>
      </w:pPr>
      <w:r w:rsidRPr="004438CC">
        <w:rPr>
          <w:rFonts w:ascii="Times New Roman" w:hAnsi="Times New Roman" w:cs="Times New Roman"/>
          <w:color w:val="000000" w:themeColor="text1"/>
        </w:rPr>
        <w:t>5.10.2020</w:t>
      </w:r>
      <w:r w:rsidR="0035531D" w:rsidRPr="004438CC">
        <w:rPr>
          <w:rFonts w:ascii="Times New Roman" w:hAnsi="Times New Roman" w:cs="Times New Roman"/>
          <w:color w:val="000000" w:themeColor="text1"/>
        </w:rPr>
        <w:t>, Ibadan</w:t>
      </w:r>
    </w:p>
    <w:p w14:paraId="5364543F" w14:textId="77777777" w:rsidR="0035531D" w:rsidRPr="004438CC" w:rsidRDefault="0035531D" w:rsidP="006F54A7">
      <w:pPr>
        <w:jc w:val="center"/>
        <w:rPr>
          <w:rFonts w:ascii="Times New Roman" w:hAnsi="Times New Roman" w:cs="Times New Roman"/>
          <w:color w:val="000000" w:themeColor="text1"/>
        </w:rPr>
      </w:pPr>
    </w:p>
    <w:p w14:paraId="2ED35F52" w14:textId="77777777" w:rsidR="006F790C" w:rsidRPr="004438CC" w:rsidRDefault="00836B61" w:rsidP="00A2060F">
      <w:pPr>
        <w:jc w:val="center"/>
        <w:rPr>
          <w:rFonts w:ascii="Times New Roman" w:hAnsi="Times New Roman" w:cs="Times New Roman"/>
          <w:b/>
          <w:color w:val="000000" w:themeColor="text1"/>
        </w:rPr>
      </w:pPr>
      <w:r w:rsidRPr="004438CC">
        <w:rPr>
          <w:rFonts w:ascii="Times New Roman" w:hAnsi="Times New Roman" w:cs="Times New Roman"/>
          <w:b/>
          <w:color w:val="000000" w:themeColor="text1"/>
        </w:rPr>
        <w:t>The Developing of the Discipline of Old Testament Theology</w:t>
      </w:r>
    </w:p>
    <w:p w14:paraId="5E2A1BD6" w14:textId="77777777" w:rsidR="00836B61" w:rsidRPr="004438CC" w:rsidRDefault="00836B61">
      <w:pPr>
        <w:rPr>
          <w:rFonts w:ascii="Times New Roman" w:hAnsi="Times New Roman" w:cs="Times New Roman"/>
          <w:color w:val="000000" w:themeColor="text1"/>
        </w:rPr>
      </w:pPr>
    </w:p>
    <w:p w14:paraId="107AB9AF" w14:textId="182EE092" w:rsidR="00836B61" w:rsidRPr="004438CC" w:rsidRDefault="00836B61" w:rsidP="00836B61">
      <w:pPr>
        <w:pStyle w:val="ListParagraph"/>
        <w:numPr>
          <w:ilvl w:val="0"/>
          <w:numId w:val="1"/>
        </w:numPr>
        <w:jc w:val="both"/>
        <w:rPr>
          <w:rFonts w:ascii="Times New Roman" w:hAnsi="Times New Roman" w:cs="Times New Roman"/>
          <w:color w:val="000000" w:themeColor="text1"/>
        </w:rPr>
      </w:pPr>
      <w:r w:rsidRPr="004438CC">
        <w:rPr>
          <w:rFonts w:ascii="Times New Roman" w:hAnsi="Times New Roman" w:cs="Times New Roman"/>
          <w:b/>
          <w:i/>
          <w:color w:val="000000" w:themeColor="text1"/>
        </w:rPr>
        <w:t xml:space="preserve">The Ambiguity of the Term </w:t>
      </w:r>
      <w:r w:rsidR="00295E40" w:rsidRPr="004438CC">
        <w:rPr>
          <w:rFonts w:ascii="Times New Roman" w:hAnsi="Times New Roman" w:cs="Times New Roman"/>
          <w:b/>
          <w:i/>
          <w:color w:val="000000" w:themeColor="text1"/>
        </w:rPr>
        <w:t>“</w:t>
      </w:r>
      <w:r w:rsidRPr="004438CC">
        <w:rPr>
          <w:rFonts w:ascii="Times New Roman" w:hAnsi="Times New Roman" w:cs="Times New Roman"/>
          <w:b/>
          <w:i/>
          <w:color w:val="000000" w:themeColor="text1"/>
        </w:rPr>
        <w:t>Biblical Theology</w:t>
      </w:r>
      <w:r w:rsidR="00295E40" w:rsidRPr="004438CC">
        <w:rPr>
          <w:rFonts w:ascii="Times New Roman" w:hAnsi="Times New Roman" w:cs="Times New Roman"/>
          <w:b/>
          <w:i/>
          <w:color w:val="000000" w:themeColor="text1"/>
        </w:rPr>
        <w:t>”</w:t>
      </w:r>
      <w:r w:rsidRPr="004438CC">
        <w:rPr>
          <w:rFonts w:ascii="Times New Roman" w:hAnsi="Times New Roman" w:cs="Times New Roman"/>
          <w:color w:val="000000" w:themeColor="text1"/>
        </w:rPr>
        <w:t>: a. Is BIBLICAL THEOLOGY  a term that refers to the theology contained within the writings of the Old Testament texts themselves or</w:t>
      </w:r>
      <w:r w:rsidR="00CD158C" w:rsidRPr="004438CC">
        <w:rPr>
          <w:rFonts w:ascii="Times New Roman" w:hAnsi="Times New Roman" w:cs="Times New Roman"/>
          <w:color w:val="000000" w:themeColor="text1"/>
        </w:rPr>
        <w:t xml:space="preserve"> b.,</w:t>
      </w:r>
      <w:r w:rsidRPr="004438CC">
        <w:rPr>
          <w:rFonts w:ascii="Times New Roman" w:hAnsi="Times New Roman" w:cs="Times New Roman"/>
          <w:color w:val="000000" w:themeColor="text1"/>
        </w:rPr>
        <w:t xml:space="preserve"> is it a theology which accords with or can be related to the Bible? This distinction according to B. S. Childs is the underlying issue contained in the modern debate to understand the Term BIBLICAL THEOLOGY (BT from now on). The first definition which sees BT as a theology contained within the Old Testament understands the term to be </w:t>
      </w:r>
      <w:r w:rsidRPr="004438CC">
        <w:rPr>
          <w:rFonts w:ascii="Times New Roman" w:hAnsi="Times New Roman" w:cs="Times New Roman"/>
          <w:b/>
          <w:color w:val="000000" w:themeColor="text1"/>
        </w:rPr>
        <w:t>descriptive and historical</w:t>
      </w:r>
      <w:r w:rsidRPr="004438CC">
        <w:rPr>
          <w:rFonts w:ascii="Times New Roman" w:hAnsi="Times New Roman" w:cs="Times New Roman"/>
          <w:color w:val="000000" w:themeColor="text1"/>
        </w:rPr>
        <w:t xml:space="preserve">. In other words, the Biblical Theologian seeks to understand the theological thoughts of the Biblical authors themselves. This in turn suggests that this kind of theology is strongly related biblical exegesis which seeks to understand the author’s intention in Biblical interpretation. </w:t>
      </w:r>
      <w:r w:rsidR="00970B85" w:rsidRPr="004438CC">
        <w:rPr>
          <w:rFonts w:ascii="Times New Roman" w:hAnsi="Times New Roman" w:cs="Times New Roman"/>
          <w:b/>
          <w:color w:val="000000" w:themeColor="text1"/>
        </w:rPr>
        <w:t>Walter Eichrodt’s</w:t>
      </w:r>
      <w:r w:rsidR="00970B85" w:rsidRPr="004438CC">
        <w:rPr>
          <w:rFonts w:ascii="Times New Roman" w:hAnsi="Times New Roman" w:cs="Times New Roman"/>
          <w:color w:val="000000" w:themeColor="text1"/>
        </w:rPr>
        <w:t xml:space="preserve"> definition of BT theology accords more to this perspective. According to him: “</w:t>
      </w:r>
      <w:r w:rsidR="00970B85" w:rsidRPr="004438CC">
        <w:rPr>
          <w:rFonts w:ascii="Times New Roman" w:hAnsi="Times New Roman" w:cs="Times New Roman"/>
          <w:i/>
          <w:color w:val="000000" w:themeColor="text1"/>
        </w:rPr>
        <w:t>its concern is to construct a complete picture of the OT realm of belief , in other words to comprehend in all its uniqueness and immensity what is, strictly speaking, the proper object of OT study</w:t>
      </w:r>
      <w:r w:rsidR="00970B85" w:rsidRPr="004438CC">
        <w:rPr>
          <w:rFonts w:ascii="Times New Roman" w:hAnsi="Times New Roman" w:cs="Times New Roman"/>
          <w:color w:val="000000" w:themeColor="text1"/>
        </w:rPr>
        <w:t xml:space="preserve">”. The other interpretation refers more to the modern reader’s understanding of a systematic theological thought which can also be found in the Bible. The emphasis is not so much what the thoughts of the scriptural authors are as it is of what the modern reader understands about God in relation with the scriptures he or she reads.  </w:t>
      </w:r>
    </w:p>
    <w:p w14:paraId="596A0BE4" w14:textId="23F3FE48" w:rsidR="00CD158C" w:rsidRPr="004438CC" w:rsidRDefault="00B4166E" w:rsidP="00CD158C">
      <w:pPr>
        <w:pStyle w:val="ListParagraph"/>
        <w:jc w:val="both"/>
        <w:rPr>
          <w:rFonts w:ascii="Times New Roman" w:hAnsi="Times New Roman" w:cs="Times New Roman"/>
          <w:color w:val="000000" w:themeColor="text1"/>
        </w:rPr>
      </w:pPr>
      <w:r w:rsidRPr="004438CC">
        <w:rPr>
          <w:rFonts w:ascii="Times New Roman" w:hAnsi="Times New Roman" w:cs="Times New Roman"/>
          <w:color w:val="000000" w:themeColor="text1"/>
        </w:rPr>
        <w:t xml:space="preserve">c. </w:t>
      </w:r>
      <w:r w:rsidR="00CD158C" w:rsidRPr="004438CC">
        <w:rPr>
          <w:rFonts w:ascii="Times New Roman" w:hAnsi="Times New Roman" w:cs="Times New Roman"/>
          <w:color w:val="000000" w:themeColor="text1"/>
        </w:rPr>
        <w:t>Another question relating to the term Biblical theology is the ambiguity of the theological orientations of the different books of the O</w:t>
      </w:r>
      <w:r w:rsidR="000F3BC9" w:rsidRPr="004438CC">
        <w:rPr>
          <w:rFonts w:ascii="Times New Roman" w:hAnsi="Times New Roman" w:cs="Times New Roman"/>
          <w:color w:val="000000" w:themeColor="text1"/>
        </w:rPr>
        <w:t>T. Is there only one theology or is are there numerous strands of theology? If there are numerous strands can we truly speak of a Biblical theology or rather Biblical theologies?</w:t>
      </w:r>
      <w:r w:rsidR="00FE1177" w:rsidRPr="004438CC">
        <w:rPr>
          <w:rFonts w:ascii="Times New Roman" w:hAnsi="Times New Roman" w:cs="Times New Roman"/>
          <w:color w:val="000000" w:themeColor="text1"/>
        </w:rPr>
        <w:t xml:space="preserve"> How we answer this question relates directly to how we understand the Bible and </w:t>
      </w:r>
      <w:proofErr w:type="spellStart"/>
      <w:r w:rsidR="00FE1177" w:rsidRPr="004438CC">
        <w:rPr>
          <w:rFonts w:ascii="Times New Roman" w:hAnsi="Times New Roman" w:cs="Times New Roman"/>
          <w:color w:val="000000" w:themeColor="text1"/>
        </w:rPr>
        <w:t>interprete</w:t>
      </w:r>
      <w:proofErr w:type="spellEnd"/>
      <w:r w:rsidR="00FE1177" w:rsidRPr="004438CC">
        <w:rPr>
          <w:rFonts w:ascii="Times New Roman" w:hAnsi="Times New Roman" w:cs="Times New Roman"/>
          <w:color w:val="000000" w:themeColor="text1"/>
        </w:rPr>
        <w:t xml:space="preserve"> it. As scholars of the Bible, we should be able to relate to different strands of theology in the OT and then try to develop a unified view of the Bible from these different strands. </w:t>
      </w:r>
    </w:p>
    <w:p w14:paraId="4F32395A" w14:textId="77777777" w:rsidR="00970B85" w:rsidRPr="004438CC" w:rsidRDefault="00970B85" w:rsidP="00970B85">
      <w:pPr>
        <w:pStyle w:val="ListParagraph"/>
        <w:jc w:val="both"/>
        <w:rPr>
          <w:rFonts w:ascii="Times New Roman" w:hAnsi="Times New Roman" w:cs="Times New Roman"/>
          <w:color w:val="000000" w:themeColor="text1"/>
        </w:rPr>
      </w:pPr>
    </w:p>
    <w:p w14:paraId="54CF162C" w14:textId="77777777" w:rsidR="00425302" w:rsidRPr="004438CC" w:rsidRDefault="00425302" w:rsidP="00836B61">
      <w:pPr>
        <w:pStyle w:val="ListParagraph"/>
        <w:numPr>
          <w:ilvl w:val="0"/>
          <w:numId w:val="1"/>
        </w:numPr>
        <w:jc w:val="both"/>
        <w:rPr>
          <w:rFonts w:ascii="Times New Roman" w:hAnsi="Times New Roman" w:cs="Times New Roman"/>
          <w:b/>
          <w:color w:val="000000" w:themeColor="text1"/>
        </w:rPr>
      </w:pPr>
      <w:r w:rsidRPr="004438CC">
        <w:rPr>
          <w:rFonts w:ascii="Times New Roman" w:hAnsi="Times New Roman" w:cs="Times New Roman"/>
          <w:b/>
          <w:color w:val="000000" w:themeColor="text1"/>
        </w:rPr>
        <w:t>History of the Discipline and Approaches to Biblical Theology</w:t>
      </w:r>
    </w:p>
    <w:p w14:paraId="27928614" w14:textId="77777777" w:rsidR="00425302" w:rsidRPr="004438CC" w:rsidRDefault="00425302" w:rsidP="00425302">
      <w:pPr>
        <w:pStyle w:val="ListParagraph"/>
        <w:rPr>
          <w:rFonts w:ascii="Times New Roman" w:hAnsi="Times New Roman" w:cs="Times New Roman"/>
          <w:b/>
          <w:color w:val="000000" w:themeColor="text1"/>
        </w:rPr>
      </w:pPr>
    </w:p>
    <w:p w14:paraId="3B2E7CEA" w14:textId="697E93A1" w:rsidR="00A2060F" w:rsidRPr="004438CC" w:rsidRDefault="00A2060F" w:rsidP="00425302">
      <w:pPr>
        <w:pStyle w:val="ListParagraph"/>
        <w:jc w:val="both"/>
        <w:rPr>
          <w:rFonts w:ascii="Times New Roman" w:hAnsi="Times New Roman" w:cs="Times New Roman"/>
          <w:color w:val="000000" w:themeColor="text1"/>
        </w:rPr>
      </w:pPr>
      <w:r w:rsidRPr="004438CC">
        <w:rPr>
          <w:rFonts w:ascii="Times New Roman" w:hAnsi="Times New Roman" w:cs="Times New Roman"/>
          <w:b/>
          <w:color w:val="000000" w:themeColor="text1"/>
        </w:rPr>
        <w:t>At what point do we begin to trace the consideration of the Old Testament as a theological document</w:t>
      </w:r>
      <w:r w:rsidRPr="004438CC">
        <w:rPr>
          <w:rFonts w:ascii="Times New Roman" w:hAnsi="Times New Roman" w:cs="Times New Roman"/>
          <w:color w:val="000000" w:themeColor="text1"/>
        </w:rPr>
        <w:t xml:space="preserve">. This is a serious question to ask because it is presumptuous to think that it is only modern theologians or </w:t>
      </w:r>
      <w:proofErr w:type="spellStart"/>
      <w:r w:rsidRPr="004438CC">
        <w:rPr>
          <w:rFonts w:ascii="Times New Roman" w:hAnsi="Times New Roman" w:cs="Times New Roman"/>
          <w:color w:val="000000" w:themeColor="text1"/>
        </w:rPr>
        <w:t>biblists</w:t>
      </w:r>
      <w:proofErr w:type="spellEnd"/>
      <w:r w:rsidRPr="004438CC">
        <w:rPr>
          <w:rFonts w:ascii="Times New Roman" w:hAnsi="Times New Roman" w:cs="Times New Roman"/>
          <w:color w:val="000000" w:themeColor="text1"/>
        </w:rPr>
        <w:t xml:space="preserve"> that have had the ingenuity to have studied the Bible as a theological document. While Brevard Childs begins tracing the history of the disciple from the </w:t>
      </w:r>
      <w:r w:rsidRPr="004438CC">
        <w:rPr>
          <w:rFonts w:ascii="Times New Roman" w:hAnsi="Times New Roman" w:cs="Times New Roman"/>
          <w:b/>
          <w:color w:val="000000" w:themeColor="text1"/>
        </w:rPr>
        <w:t>Reformation</w:t>
      </w:r>
      <w:r w:rsidRPr="004438CC">
        <w:rPr>
          <w:rFonts w:ascii="Times New Roman" w:hAnsi="Times New Roman" w:cs="Times New Roman"/>
          <w:color w:val="000000" w:themeColor="text1"/>
        </w:rPr>
        <w:t>, we could ask if it is possible to go a bit further back to see if there are ways ancient interpreters have understood the theology of the Old Testament. There could be different points to begin tracing the development of the discipline. According to Paul House, “</w:t>
      </w:r>
      <w:r w:rsidRPr="004438CC">
        <w:rPr>
          <w:rFonts w:ascii="Times New Roman" w:hAnsi="Times New Roman" w:cs="Times New Roman"/>
          <w:i/>
          <w:color w:val="000000" w:themeColor="text1"/>
        </w:rPr>
        <w:t>One could also start the description with the New Testament’s treatment of the Old Testament. This approach also has validity, because the New Testament writers make extensive use of the Old Testament. After all, it was their Bible! To start here, however, is to run ahead of one’s self</w:t>
      </w:r>
      <w:r w:rsidRPr="004438CC">
        <w:rPr>
          <w:rFonts w:ascii="Times New Roman" w:hAnsi="Times New Roman" w:cs="Times New Roman"/>
          <w:color w:val="000000" w:themeColor="text1"/>
        </w:rPr>
        <w:t>.” Another possible point of entry is to begin tracing the development with how the Church Fathers understood, Medieval interpreters and the Reformation viewed the Old Testament. For the Reformation: “</w:t>
      </w:r>
      <w:r w:rsidRPr="004438CC">
        <w:rPr>
          <w:rFonts w:ascii="Times New Roman" w:hAnsi="Times New Roman" w:cs="Times New Roman"/>
          <w:i/>
          <w:color w:val="000000" w:themeColor="text1"/>
        </w:rPr>
        <w:t xml:space="preserve">John Calvin and Martin Luther are particularly notable examples of figures from church history who interpret the Old Testament as a theological document </w:t>
      </w:r>
      <w:r w:rsidRPr="004438CC">
        <w:rPr>
          <w:rFonts w:ascii="Times New Roman" w:hAnsi="Times New Roman" w:cs="Times New Roman"/>
          <w:i/>
          <w:color w:val="000000" w:themeColor="text1"/>
        </w:rPr>
        <w:lastRenderedPageBreak/>
        <w:t>closely linked to the New Testament. 4  The problem with this approach is that none of these individuals ever produced a single volume specifically devoted to Old Testament theology. Their ideas must be gleaned from literally dozens of sermons, commentaries and other works. Though this is an enriching task, once again an entire work or series of works would be required to complete the assignment</w:t>
      </w:r>
      <w:r w:rsidRPr="004438CC">
        <w:rPr>
          <w:rFonts w:ascii="Times New Roman" w:hAnsi="Times New Roman" w:cs="Times New Roman"/>
          <w:color w:val="000000" w:themeColor="text1"/>
        </w:rPr>
        <w:t>”. There is a certain consensus that the discipline is a post-Reformation development which shifted emphasis from dogmatic ecclesiastical theology to the Bible as a sole authority that feeds every aspect of ecclesiastical theology. According to Childs, the Reformation only provided a context for the subsequent development of the discipline which would flourish from the 19</w:t>
      </w:r>
      <w:r w:rsidRPr="004438CC">
        <w:rPr>
          <w:rFonts w:ascii="Times New Roman" w:hAnsi="Times New Roman" w:cs="Times New Roman"/>
          <w:color w:val="000000" w:themeColor="text1"/>
          <w:vertAlign w:val="superscript"/>
        </w:rPr>
        <w:t>th</w:t>
      </w:r>
      <w:r w:rsidRPr="004438CC">
        <w:rPr>
          <w:rFonts w:ascii="Times New Roman" w:hAnsi="Times New Roman" w:cs="Times New Roman"/>
          <w:color w:val="000000" w:themeColor="text1"/>
        </w:rPr>
        <w:t xml:space="preserve"> century till date. It provided the first instance of emancipation of Biblical Theology from its dependency on ecclesiastical doctrine. Therefore, while the Reformation provided a context, it did not provide a complete vision of Biblical realm of beliefs or a Theology which is proper to the Testaments. </w:t>
      </w:r>
    </w:p>
    <w:p w14:paraId="017AFA13" w14:textId="77777777" w:rsidR="00A2060F" w:rsidRPr="004438CC" w:rsidRDefault="00A2060F" w:rsidP="00A2060F">
      <w:pPr>
        <w:pStyle w:val="ListParagraph"/>
        <w:rPr>
          <w:rFonts w:ascii="Times New Roman" w:hAnsi="Times New Roman" w:cs="Times New Roman"/>
          <w:color w:val="000000" w:themeColor="text1"/>
        </w:rPr>
      </w:pPr>
    </w:p>
    <w:p w14:paraId="65D84EF1" w14:textId="3C22B4DE" w:rsidR="006C525A" w:rsidRPr="004438CC" w:rsidRDefault="006C525A" w:rsidP="00A2060F">
      <w:pPr>
        <w:pStyle w:val="ListParagraph"/>
        <w:jc w:val="both"/>
        <w:rPr>
          <w:rFonts w:ascii="Times New Roman" w:hAnsi="Times New Roman" w:cs="Times New Roman"/>
          <w:color w:val="000000" w:themeColor="text1"/>
        </w:rPr>
      </w:pPr>
      <w:r w:rsidRPr="004438CC">
        <w:rPr>
          <w:rFonts w:ascii="Times New Roman" w:hAnsi="Times New Roman" w:cs="Times New Roman"/>
          <w:b/>
          <w:color w:val="000000" w:themeColor="text1"/>
        </w:rPr>
        <w:t>J. P. Gabler</w:t>
      </w:r>
      <w:r w:rsidRPr="004438CC">
        <w:rPr>
          <w:rFonts w:ascii="Times New Roman" w:hAnsi="Times New Roman" w:cs="Times New Roman"/>
          <w:color w:val="000000" w:themeColor="text1"/>
        </w:rPr>
        <w:t xml:space="preserve"> had argued for a separation of Biblical Theology from dogmatic Theology. In his </w:t>
      </w:r>
      <w:proofErr w:type="spellStart"/>
      <w:r w:rsidRPr="004438CC">
        <w:rPr>
          <w:rFonts w:ascii="Times New Roman" w:hAnsi="Times New Roman" w:cs="Times New Roman"/>
          <w:color w:val="000000" w:themeColor="text1"/>
        </w:rPr>
        <w:t>oratio</w:t>
      </w:r>
      <w:proofErr w:type="spellEnd"/>
      <w:r w:rsidRPr="004438CC">
        <w:rPr>
          <w:rFonts w:ascii="Times New Roman" w:hAnsi="Times New Roman" w:cs="Times New Roman"/>
          <w:color w:val="000000" w:themeColor="text1"/>
        </w:rPr>
        <w:t xml:space="preserve"> of 1787, he set out his basic focus: “A discourse on the proper distinction between biblical and dogmatic theology and the correct </w:t>
      </w:r>
      <w:r w:rsidR="004438CC" w:rsidRPr="004438CC">
        <w:rPr>
          <w:rFonts w:ascii="Times New Roman" w:hAnsi="Times New Roman" w:cs="Times New Roman"/>
          <w:color w:val="000000" w:themeColor="text1"/>
        </w:rPr>
        <w:t>delimitation</w:t>
      </w:r>
      <w:bookmarkStart w:id="0" w:name="_GoBack"/>
      <w:bookmarkEnd w:id="0"/>
      <w:r w:rsidRPr="004438CC">
        <w:rPr>
          <w:rFonts w:ascii="Times New Roman" w:hAnsi="Times New Roman" w:cs="Times New Roman"/>
          <w:color w:val="000000" w:themeColor="text1"/>
        </w:rPr>
        <w:t xml:space="preserve"> of their boundaries”. </w:t>
      </w:r>
      <w:r w:rsidR="00883452" w:rsidRPr="004438CC">
        <w:rPr>
          <w:rFonts w:ascii="Times New Roman" w:hAnsi="Times New Roman" w:cs="Times New Roman"/>
          <w:color w:val="000000" w:themeColor="text1"/>
        </w:rPr>
        <w:t xml:space="preserve">He argued for a historical reading of the Bible in order to understand the Bible from its own proper context. He was among the first that pioneered the separation of Old and New Testament Theologies. </w:t>
      </w:r>
      <w:r w:rsidR="00425302" w:rsidRPr="004438CC">
        <w:rPr>
          <w:rFonts w:ascii="Times New Roman" w:hAnsi="Times New Roman" w:cs="Times New Roman"/>
          <w:color w:val="000000" w:themeColor="text1"/>
        </w:rPr>
        <w:t xml:space="preserve">“Gabler’s scheme also has serious flaws. </w:t>
      </w:r>
      <w:r w:rsidR="00425302" w:rsidRPr="004438CC">
        <w:rPr>
          <w:rFonts w:ascii="Times New Roman" w:hAnsi="Times New Roman" w:cs="Times New Roman"/>
          <w:b/>
          <w:i/>
          <w:color w:val="000000" w:themeColor="text1"/>
        </w:rPr>
        <w:t>First, his insistence on rationalism and its refusal to discuss what lies beyond the human senses eliminates much of Scripture from serious theological consideration</w:t>
      </w:r>
      <w:r w:rsidR="00425302" w:rsidRPr="004438CC">
        <w:rPr>
          <w:rFonts w:ascii="Times New Roman" w:hAnsi="Times New Roman" w:cs="Times New Roman"/>
          <w:color w:val="000000" w:themeColor="text1"/>
        </w:rPr>
        <w:t xml:space="preserve">. None of the Bible’s miracles, very little of authorial inspiration and only a limited number of the apostles’ statements remain. One wonders how Gabler can speak of a Savior or of salvation  and stand by his convictions. After all, salvation hardly seems a sense-oriented category. Clearly Gabler had his own governing ideology, just as those he criticized did. Second, despite his program for incorporating biblical and systematic theology, </w:t>
      </w:r>
      <w:r w:rsidR="00425302" w:rsidRPr="004438CC">
        <w:rPr>
          <w:rFonts w:ascii="Times New Roman" w:hAnsi="Times New Roman" w:cs="Times New Roman"/>
          <w:b/>
          <w:i/>
          <w:color w:val="000000" w:themeColor="text1"/>
        </w:rPr>
        <w:t>Gabler’s theories open the door for a negative separation of Old and New Testament theology</w:t>
      </w:r>
      <w:r w:rsidR="00425302" w:rsidRPr="004438CC">
        <w:rPr>
          <w:rFonts w:ascii="Times New Roman" w:hAnsi="Times New Roman" w:cs="Times New Roman"/>
          <w:color w:val="000000" w:themeColor="text1"/>
        </w:rPr>
        <w:t xml:space="preserve">. So little of the Old Testament would presumably have non-time-bound principles that it would be rendered fairly insignificant for biblical theology. </w:t>
      </w:r>
      <w:r w:rsidR="00425302" w:rsidRPr="004438CC">
        <w:rPr>
          <w:rFonts w:ascii="Times New Roman" w:hAnsi="Times New Roman" w:cs="Times New Roman"/>
          <w:b/>
          <w:i/>
          <w:color w:val="000000" w:themeColor="text1"/>
        </w:rPr>
        <w:t>This fact leads to the conclusion that Old Testament theology may be worthy of historical study but that it is not overwhelmingly pertinent to the church.</w:t>
      </w:r>
      <w:r w:rsidR="00425302" w:rsidRPr="004438CC">
        <w:rPr>
          <w:rFonts w:ascii="Times New Roman" w:hAnsi="Times New Roman" w:cs="Times New Roman"/>
          <w:color w:val="000000" w:themeColor="text1"/>
        </w:rPr>
        <w:t xml:space="preserve"> As will be discussed later, many scholars adopted this approach after Gabler’s time. Third, a cleavage is created between the academic study of theology and the church’s teaching of doctrine. The idea emerges that “truth” is learned in the library and expounded in the lecture hall but the church teaches its same biases from one generation to the next. This division between church and academy exists in too many instances”</w:t>
      </w:r>
      <w:r w:rsidR="00425302" w:rsidRPr="004438CC">
        <w:rPr>
          <w:rStyle w:val="FootnoteReference"/>
          <w:rFonts w:ascii="Times New Roman" w:hAnsi="Times New Roman" w:cs="Times New Roman"/>
          <w:color w:val="000000" w:themeColor="text1"/>
        </w:rPr>
        <w:footnoteReference w:id="1"/>
      </w:r>
      <w:r w:rsidR="00425302" w:rsidRPr="004438CC">
        <w:rPr>
          <w:rFonts w:ascii="Times New Roman" w:hAnsi="Times New Roman" w:cs="Times New Roman"/>
          <w:color w:val="000000" w:themeColor="text1"/>
        </w:rPr>
        <w:t xml:space="preserve">. Gabler’s approach could hardly serve the faith-needs of a Church that intends to understand its Scripture theologically. </w:t>
      </w:r>
    </w:p>
    <w:p w14:paraId="36595B8E" w14:textId="77777777" w:rsidR="006C525A" w:rsidRPr="004438CC" w:rsidRDefault="006C525A" w:rsidP="00A2060F">
      <w:pPr>
        <w:pStyle w:val="ListParagraph"/>
        <w:jc w:val="both"/>
        <w:rPr>
          <w:rFonts w:ascii="Times New Roman" w:hAnsi="Times New Roman" w:cs="Times New Roman"/>
          <w:color w:val="000000" w:themeColor="text1"/>
        </w:rPr>
      </w:pPr>
    </w:p>
    <w:p w14:paraId="1D1A1A06" w14:textId="77777777" w:rsidR="00970B85" w:rsidRPr="004438CC" w:rsidRDefault="00970B85" w:rsidP="00425302">
      <w:pPr>
        <w:pStyle w:val="ListParagraph"/>
        <w:jc w:val="both"/>
        <w:rPr>
          <w:rFonts w:ascii="Times New Roman" w:hAnsi="Times New Roman" w:cs="Times New Roman"/>
          <w:color w:val="000000" w:themeColor="text1"/>
        </w:rPr>
      </w:pPr>
      <w:r w:rsidRPr="004438CC">
        <w:rPr>
          <w:rFonts w:ascii="Times New Roman" w:hAnsi="Times New Roman" w:cs="Times New Roman"/>
          <w:color w:val="000000" w:themeColor="text1"/>
        </w:rPr>
        <w:t>The History of the Development of the discipline</w:t>
      </w:r>
      <w:r w:rsidR="00A2060F" w:rsidRPr="004438CC">
        <w:rPr>
          <w:rFonts w:ascii="Times New Roman" w:hAnsi="Times New Roman" w:cs="Times New Roman"/>
          <w:color w:val="000000" w:themeColor="text1"/>
        </w:rPr>
        <w:t>, as we have it today,</w:t>
      </w:r>
      <w:r w:rsidRPr="004438CC">
        <w:rPr>
          <w:rFonts w:ascii="Times New Roman" w:hAnsi="Times New Roman" w:cs="Times New Roman"/>
          <w:color w:val="000000" w:themeColor="text1"/>
        </w:rPr>
        <w:t xml:space="preserve"> can be traced mainly to books and essays published mainly within the 19</w:t>
      </w:r>
      <w:r w:rsidRPr="004438CC">
        <w:rPr>
          <w:rFonts w:ascii="Times New Roman" w:hAnsi="Times New Roman" w:cs="Times New Roman"/>
          <w:color w:val="000000" w:themeColor="text1"/>
          <w:vertAlign w:val="superscript"/>
        </w:rPr>
        <w:t>th</w:t>
      </w:r>
      <w:r w:rsidRPr="004438CC">
        <w:rPr>
          <w:rFonts w:ascii="Times New Roman" w:hAnsi="Times New Roman" w:cs="Times New Roman"/>
          <w:color w:val="000000" w:themeColor="text1"/>
        </w:rPr>
        <w:t xml:space="preserve"> Century. </w:t>
      </w:r>
      <w:r w:rsidR="00425302" w:rsidRPr="004438CC">
        <w:rPr>
          <w:rFonts w:ascii="Times New Roman" w:hAnsi="Times New Roman" w:cs="Times New Roman"/>
          <w:b/>
          <w:i/>
          <w:color w:val="000000" w:themeColor="text1"/>
        </w:rPr>
        <w:t>The work of Ebeling attacked the legacy of Gabler by stating that biblical theology is not just about history but also some theology combined with history.</w:t>
      </w:r>
      <w:r w:rsidR="00425302" w:rsidRPr="004438CC">
        <w:rPr>
          <w:rFonts w:ascii="Times New Roman" w:hAnsi="Times New Roman" w:cs="Times New Roman"/>
          <w:color w:val="000000" w:themeColor="text1"/>
        </w:rPr>
        <w:t xml:space="preserve"> However, he retained Gabler’s idea that the theologian must learn to listen to the voice of each Testament: both Old and New. However, the interpreter does not have to distance himself from any theological goal when confronting the Old and New Testaments historically. </w:t>
      </w:r>
      <w:r w:rsidRPr="004438CC">
        <w:rPr>
          <w:rFonts w:ascii="Times New Roman" w:hAnsi="Times New Roman" w:cs="Times New Roman"/>
          <w:color w:val="000000" w:themeColor="text1"/>
        </w:rPr>
        <w:t>Later publications within the 20</w:t>
      </w:r>
      <w:r w:rsidRPr="004438CC">
        <w:rPr>
          <w:rFonts w:ascii="Times New Roman" w:hAnsi="Times New Roman" w:cs="Times New Roman"/>
          <w:color w:val="000000" w:themeColor="text1"/>
          <w:vertAlign w:val="superscript"/>
        </w:rPr>
        <w:t>th</w:t>
      </w:r>
      <w:r w:rsidRPr="004438CC">
        <w:rPr>
          <w:rFonts w:ascii="Times New Roman" w:hAnsi="Times New Roman" w:cs="Times New Roman"/>
          <w:color w:val="000000" w:themeColor="text1"/>
        </w:rPr>
        <w:t xml:space="preserve"> century also added new and useful insight to the discipline </w:t>
      </w:r>
      <w:r w:rsidRPr="004438CC">
        <w:rPr>
          <w:rFonts w:ascii="Times New Roman" w:hAnsi="Times New Roman" w:cs="Times New Roman"/>
          <w:color w:val="000000" w:themeColor="text1"/>
        </w:rPr>
        <w:lastRenderedPageBreak/>
        <w:t xml:space="preserve">(cf. works by Kraus, </w:t>
      </w:r>
      <w:proofErr w:type="spellStart"/>
      <w:r w:rsidRPr="004438CC">
        <w:rPr>
          <w:rFonts w:ascii="Times New Roman" w:hAnsi="Times New Roman" w:cs="Times New Roman"/>
          <w:color w:val="000000" w:themeColor="text1"/>
        </w:rPr>
        <w:t>Merk</w:t>
      </w:r>
      <w:proofErr w:type="spellEnd"/>
      <w:r w:rsidRPr="004438CC">
        <w:rPr>
          <w:rFonts w:ascii="Times New Roman" w:hAnsi="Times New Roman" w:cs="Times New Roman"/>
          <w:color w:val="000000" w:themeColor="text1"/>
        </w:rPr>
        <w:t xml:space="preserve">, </w:t>
      </w:r>
      <w:proofErr w:type="spellStart"/>
      <w:r w:rsidRPr="004438CC">
        <w:rPr>
          <w:rFonts w:ascii="Times New Roman" w:hAnsi="Times New Roman" w:cs="Times New Roman"/>
          <w:color w:val="000000" w:themeColor="text1"/>
        </w:rPr>
        <w:t>Zimmerli</w:t>
      </w:r>
      <w:proofErr w:type="spellEnd"/>
      <w:r w:rsidRPr="004438CC">
        <w:rPr>
          <w:rFonts w:ascii="Times New Roman" w:hAnsi="Times New Roman" w:cs="Times New Roman"/>
          <w:color w:val="000000" w:themeColor="text1"/>
        </w:rPr>
        <w:t xml:space="preserve"> etc.).</w:t>
      </w:r>
      <w:r w:rsidRPr="004438CC">
        <w:rPr>
          <w:rStyle w:val="FootnoteReference"/>
          <w:rFonts w:ascii="Times New Roman" w:hAnsi="Times New Roman" w:cs="Times New Roman"/>
          <w:color w:val="000000" w:themeColor="text1"/>
        </w:rPr>
        <w:footnoteReference w:id="2"/>
      </w:r>
      <w:r w:rsidRPr="004438CC">
        <w:rPr>
          <w:rFonts w:ascii="Times New Roman" w:hAnsi="Times New Roman" w:cs="Times New Roman"/>
          <w:color w:val="000000" w:themeColor="text1"/>
        </w:rPr>
        <w:t xml:space="preserve"> </w:t>
      </w:r>
      <w:r w:rsidR="00A2060F" w:rsidRPr="004438CC">
        <w:rPr>
          <w:rFonts w:ascii="Times New Roman" w:hAnsi="Times New Roman" w:cs="Times New Roman"/>
          <w:color w:val="000000" w:themeColor="text1"/>
        </w:rPr>
        <w:t xml:space="preserve">The field of </w:t>
      </w:r>
      <w:proofErr w:type="spellStart"/>
      <w:r w:rsidR="00A2060F" w:rsidRPr="004438CC">
        <w:rPr>
          <w:rFonts w:ascii="Times New Roman" w:hAnsi="Times New Roman" w:cs="Times New Roman"/>
          <w:color w:val="000000" w:themeColor="text1"/>
        </w:rPr>
        <w:t>Bilical</w:t>
      </w:r>
      <w:proofErr w:type="spellEnd"/>
      <w:r w:rsidR="00A2060F" w:rsidRPr="004438CC">
        <w:rPr>
          <w:rFonts w:ascii="Times New Roman" w:hAnsi="Times New Roman" w:cs="Times New Roman"/>
          <w:color w:val="000000" w:themeColor="text1"/>
        </w:rPr>
        <w:t xml:space="preserve"> Theology veered into two separate disciples, Old and New Testament Theologies. Old Testament </w:t>
      </w:r>
      <w:r w:rsidR="00425302" w:rsidRPr="004438CC">
        <w:rPr>
          <w:rFonts w:ascii="Times New Roman" w:hAnsi="Times New Roman" w:cs="Times New Roman"/>
          <w:color w:val="000000" w:themeColor="text1"/>
        </w:rPr>
        <w:t xml:space="preserve">and Biblical </w:t>
      </w:r>
      <w:r w:rsidR="00A2060F" w:rsidRPr="004438CC">
        <w:rPr>
          <w:rFonts w:ascii="Times New Roman" w:hAnsi="Times New Roman" w:cs="Times New Roman"/>
          <w:color w:val="000000" w:themeColor="text1"/>
        </w:rPr>
        <w:t xml:space="preserve">Theology history was fostered through the work of W. </w:t>
      </w:r>
      <w:proofErr w:type="spellStart"/>
      <w:r w:rsidR="00A2060F" w:rsidRPr="004438CC">
        <w:rPr>
          <w:rFonts w:ascii="Times New Roman" w:hAnsi="Times New Roman" w:cs="Times New Roman"/>
          <w:color w:val="000000" w:themeColor="text1"/>
        </w:rPr>
        <w:t>Zimmerli</w:t>
      </w:r>
      <w:proofErr w:type="spellEnd"/>
      <w:r w:rsidR="00A2060F" w:rsidRPr="004438CC">
        <w:rPr>
          <w:rFonts w:ascii="Times New Roman" w:hAnsi="Times New Roman" w:cs="Times New Roman"/>
          <w:color w:val="000000" w:themeColor="text1"/>
        </w:rPr>
        <w:t xml:space="preserve"> who traced a line of its development in the works of Bauer, </w:t>
      </w:r>
      <w:proofErr w:type="spellStart"/>
      <w:r w:rsidR="00A2060F" w:rsidRPr="004438CC">
        <w:rPr>
          <w:rFonts w:ascii="Times New Roman" w:hAnsi="Times New Roman" w:cs="Times New Roman"/>
          <w:color w:val="000000" w:themeColor="text1"/>
        </w:rPr>
        <w:t>Vatke</w:t>
      </w:r>
      <w:proofErr w:type="spellEnd"/>
      <w:r w:rsidR="00A2060F" w:rsidRPr="004438CC">
        <w:rPr>
          <w:rFonts w:ascii="Times New Roman" w:hAnsi="Times New Roman" w:cs="Times New Roman"/>
          <w:color w:val="000000" w:themeColor="text1"/>
        </w:rPr>
        <w:t xml:space="preserve">, Ewald, </w:t>
      </w:r>
      <w:proofErr w:type="spellStart"/>
      <w:r w:rsidR="00A2060F" w:rsidRPr="004438CC">
        <w:rPr>
          <w:rFonts w:ascii="Times New Roman" w:hAnsi="Times New Roman" w:cs="Times New Roman"/>
          <w:color w:val="000000" w:themeColor="text1"/>
        </w:rPr>
        <w:t>Oehler</w:t>
      </w:r>
      <w:proofErr w:type="spellEnd"/>
      <w:r w:rsidR="00A2060F" w:rsidRPr="004438CC">
        <w:rPr>
          <w:rFonts w:ascii="Times New Roman" w:hAnsi="Times New Roman" w:cs="Times New Roman"/>
          <w:color w:val="000000" w:themeColor="text1"/>
        </w:rPr>
        <w:t xml:space="preserve"> etc. </w:t>
      </w:r>
    </w:p>
    <w:p w14:paraId="0D651DF1" w14:textId="77777777" w:rsidR="00425302" w:rsidRPr="004438CC" w:rsidRDefault="00425302" w:rsidP="00425302">
      <w:pPr>
        <w:pStyle w:val="ListParagraph"/>
        <w:jc w:val="both"/>
        <w:rPr>
          <w:rFonts w:ascii="Times New Roman" w:hAnsi="Times New Roman" w:cs="Times New Roman"/>
          <w:color w:val="000000" w:themeColor="text1"/>
        </w:rPr>
      </w:pPr>
    </w:p>
    <w:p w14:paraId="7B3A5E25" w14:textId="77777777" w:rsidR="00425302" w:rsidRPr="004438CC" w:rsidRDefault="00425302" w:rsidP="00425302">
      <w:pPr>
        <w:pStyle w:val="ListParagraph"/>
        <w:jc w:val="both"/>
        <w:rPr>
          <w:rFonts w:ascii="Times New Roman" w:hAnsi="Times New Roman" w:cs="Times New Roman"/>
          <w:color w:val="000000" w:themeColor="text1"/>
        </w:rPr>
      </w:pPr>
      <w:r w:rsidRPr="004438CC">
        <w:rPr>
          <w:rFonts w:ascii="Times New Roman" w:hAnsi="Times New Roman" w:cs="Times New Roman"/>
          <w:color w:val="000000" w:themeColor="text1"/>
        </w:rPr>
        <w:t xml:space="preserve">However, a work which is central to the history of the discipline in recent times is that of </w:t>
      </w:r>
      <w:r w:rsidRPr="004438CC">
        <w:rPr>
          <w:rFonts w:ascii="Times New Roman" w:hAnsi="Times New Roman" w:cs="Times New Roman"/>
          <w:b/>
          <w:color w:val="000000" w:themeColor="text1"/>
        </w:rPr>
        <w:t>Brevard Childs</w:t>
      </w:r>
      <w:r w:rsidRPr="004438CC">
        <w:rPr>
          <w:rFonts w:ascii="Times New Roman" w:hAnsi="Times New Roman" w:cs="Times New Roman"/>
          <w:color w:val="000000" w:themeColor="text1"/>
        </w:rPr>
        <w:t xml:space="preserve">: </w:t>
      </w:r>
      <w:r w:rsidRPr="004438CC">
        <w:rPr>
          <w:rFonts w:ascii="Times New Roman" w:hAnsi="Times New Roman" w:cs="Times New Roman"/>
          <w:i/>
          <w:color w:val="000000" w:themeColor="text1"/>
        </w:rPr>
        <w:t>Biblical Theology of the Old and New Testaments</w:t>
      </w:r>
      <w:r w:rsidRPr="004438CC">
        <w:rPr>
          <w:rFonts w:ascii="Times New Roman" w:hAnsi="Times New Roman" w:cs="Times New Roman"/>
          <w:color w:val="000000" w:themeColor="text1"/>
        </w:rPr>
        <w:t>, 1992. According to Paul House, “this book was the culmination of at least two decades of reflection and writing on the Old and New Testaments. By now Childs’s methodological categories were hardly a surprise, nor were his theological conclusions startling. His commitments to church, canon and biblical theology remained intact. Still, the quality of his comments and the fact that he wrote a biblical theology received attention”.</w:t>
      </w:r>
      <w:r w:rsidRPr="004438CC">
        <w:rPr>
          <w:color w:val="000000" w:themeColor="text1"/>
        </w:rPr>
        <w:t xml:space="preserve"> </w:t>
      </w:r>
      <w:r w:rsidRPr="004438CC">
        <w:rPr>
          <w:rFonts w:ascii="Times New Roman" w:hAnsi="Times New Roman" w:cs="Times New Roman"/>
          <w:color w:val="000000" w:themeColor="text1"/>
        </w:rPr>
        <w:t xml:space="preserve">First, he asserts that the canonical structuring of theology reflects the fact that the Old Testament was written within Israel’s historical context. </w:t>
      </w:r>
      <w:r w:rsidRPr="004438CC">
        <w:rPr>
          <w:rFonts w:ascii="Times New Roman" w:hAnsi="Times New Roman" w:cs="Times New Roman"/>
          <w:b/>
          <w:i/>
          <w:color w:val="000000" w:themeColor="text1"/>
        </w:rPr>
        <w:t>This fact does not mean the Old Testament only records historical events</w:t>
      </w:r>
      <w:r w:rsidRPr="004438CC">
        <w:rPr>
          <w:rFonts w:ascii="Times New Roman" w:hAnsi="Times New Roman" w:cs="Times New Roman"/>
          <w:color w:val="000000" w:themeColor="text1"/>
        </w:rPr>
        <w:t xml:space="preserve">, for this history is selected according to its importance. Further, these historical events are told in various literary types and are not all applied to the community of faith the same way. Thus, </w:t>
      </w:r>
      <w:r w:rsidRPr="004438CC">
        <w:rPr>
          <w:rFonts w:ascii="Times New Roman" w:hAnsi="Times New Roman" w:cs="Times New Roman"/>
          <w:b/>
          <w:i/>
          <w:color w:val="000000" w:themeColor="text1"/>
        </w:rPr>
        <w:t>the canonical approach</w:t>
      </w:r>
      <w:r w:rsidRPr="004438CC">
        <w:rPr>
          <w:rFonts w:ascii="Times New Roman" w:hAnsi="Times New Roman" w:cs="Times New Roman"/>
          <w:color w:val="000000" w:themeColor="text1"/>
        </w:rPr>
        <w:t xml:space="preserve"> embraces the Old Testament’s diversity and unity. Second, though different in many respects, the New Testament plays a similar role in the life of the church. It is also significant that the New Testament “bears its witness to the radically new in terms of the old.” It continually uses the Old Testament as its authoritative point of reference.</w:t>
      </w:r>
    </w:p>
    <w:p w14:paraId="093AA91B" w14:textId="77777777" w:rsidR="00A2060F" w:rsidRPr="004438CC" w:rsidRDefault="00A2060F" w:rsidP="00425302">
      <w:pPr>
        <w:jc w:val="both"/>
        <w:rPr>
          <w:rFonts w:ascii="Times New Roman" w:hAnsi="Times New Roman" w:cs="Times New Roman"/>
          <w:color w:val="000000" w:themeColor="text1"/>
        </w:rPr>
      </w:pPr>
    </w:p>
    <w:p w14:paraId="2A76276F" w14:textId="77777777" w:rsidR="00425302" w:rsidRPr="004438CC" w:rsidRDefault="00425302" w:rsidP="00425302">
      <w:pPr>
        <w:jc w:val="both"/>
        <w:rPr>
          <w:rFonts w:ascii="Times New Roman" w:hAnsi="Times New Roman" w:cs="Times New Roman"/>
          <w:color w:val="000000" w:themeColor="text1"/>
        </w:rPr>
      </w:pPr>
      <w:r w:rsidRPr="004438CC">
        <w:rPr>
          <w:rFonts w:ascii="Times New Roman" w:hAnsi="Times New Roman" w:cs="Times New Roman"/>
          <w:color w:val="000000" w:themeColor="text1"/>
        </w:rPr>
        <w:t xml:space="preserve">2a. </w:t>
      </w:r>
      <w:r w:rsidRPr="004438CC">
        <w:rPr>
          <w:rFonts w:ascii="Times New Roman" w:hAnsi="Times New Roman" w:cs="Times New Roman"/>
          <w:b/>
          <w:color w:val="000000" w:themeColor="text1"/>
        </w:rPr>
        <w:t>The Canonical Approach of B. S. Childs</w:t>
      </w:r>
    </w:p>
    <w:p w14:paraId="11D390C3" w14:textId="77777777" w:rsidR="00425302" w:rsidRPr="004438CC" w:rsidRDefault="00425302" w:rsidP="00425302">
      <w:pPr>
        <w:jc w:val="both"/>
        <w:rPr>
          <w:rFonts w:ascii="Times New Roman" w:hAnsi="Times New Roman" w:cs="Times New Roman"/>
          <w:color w:val="000000" w:themeColor="text1"/>
        </w:rPr>
      </w:pPr>
    </w:p>
    <w:p w14:paraId="7C654E98" w14:textId="77777777" w:rsidR="00425302" w:rsidRPr="004438CC" w:rsidRDefault="00425302" w:rsidP="00425302">
      <w:pPr>
        <w:pStyle w:val="NormalWeb"/>
        <w:jc w:val="both"/>
        <w:rPr>
          <w:color w:val="000000" w:themeColor="text1"/>
        </w:rPr>
      </w:pPr>
      <w:r w:rsidRPr="004438CC">
        <w:rPr>
          <w:color w:val="000000" w:themeColor="text1"/>
        </w:rPr>
        <w:t xml:space="preserve">B. S. Childs uses the term “Canonical” as a cipher that encompasses the various and diverse factors involved in the formation of literature. The materials transmitted in the formation of scripture all have a theological goal we cannot ignore. </w:t>
      </w:r>
      <w:r w:rsidRPr="004438CC">
        <w:rPr>
          <w:b/>
          <w:i/>
          <w:color w:val="000000" w:themeColor="text1"/>
        </w:rPr>
        <w:t>The term “Canon” is not late but embedded in the very process of the formation of literature. Biblical text and theological function belong inextricably together.</w:t>
      </w:r>
      <w:r w:rsidRPr="004438CC">
        <w:rPr>
          <w:color w:val="000000" w:themeColor="text1"/>
        </w:rPr>
        <w:t xml:space="preserve"> </w:t>
      </w:r>
      <w:r w:rsidRPr="004438CC">
        <w:rPr>
          <w:b/>
          <w:i/>
          <w:color w:val="000000" w:themeColor="text1"/>
        </w:rPr>
        <w:t>Childs speaks about the canonical shaping of both Testaments and justifies it as a theological continuity</w:t>
      </w:r>
      <w:r w:rsidRPr="004438CC">
        <w:rPr>
          <w:color w:val="000000" w:themeColor="text1"/>
        </w:rPr>
        <w:t xml:space="preserve">. The church not only joined its new writings to the Jewish scriptures, but laid claim on the Old Testament as a witness to Jesus Christ. The two testaments have been linked as Old and New, but this designation does not mean that the integrity of each individual testament has been destroyed. The Old Testament bears its true witness as the Old which remains distinct from the New. Hence Biblical theology bears witness to the Christian Bible with its two different voices both of which the Church confesses bear witness to Jesus Christ. Biblical Theology does a theological reflection which studies the canonical text in detailed exegesis. </w:t>
      </w:r>
    </w:p>
    <w:p w14:paraId="5585218B" w14:textId="77777777" w:rsidR="00425302" w:rsidRPr="004438CC" w:rsidRDefault="00425302" w:rsidP="00425302">
      <w:pPr>
        <w:pStyle w:val="NormalWeb"/>
        <w:jc w:val="both"/>
        <w:rPr>
          <w:color w:val="000000" w:themeColor="text1"/>
        </w:rPr>
      </w:pPr>
    </w:p>
    <w:p w14:paraId="6F64A2F1" w14:textId="77777777" w:rsidR="00425302" w:rsidRPr="004438CC" w:rsidRDefault="00425302" w:rsidP="00425302">
      <w:pPr>
        <w:jc w:val="both"/>
        <w:rPr>
          <w:rFonts w:ascii="Times New Roman" w:hAnsi="Times New Roman" w:cs="Times New Roman"/>
          <w:color w:val="000000" w:themeColor="text1"/>
        </w:rPr>
      </w:pPr>
    </w:p>
    <w:p w14:paraId="02CBE267" w14:textId="77777777" w:rsidR="00425302" w:rsidRPr="004438CC" w:rsidRDefault="00425302" w:rsidP="00425302">
      <w:pPr>
        <w:jc w:val="both"/>
        <w:rPr>
          <w:rFonts w:ascii="Times New Roman" w:hAnsi="Times New Roman" w:cs="Times New Roman"/>
          <w:color w:val="000000" w:themeColor="text1"/>
        </w:rPr>
      </w:pPr>
    </w:p>
    <w:sectPr w:rsidR="00425302" w:rsidRPr="004438CC" w:rsidSect="0032175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F441A" w14:textId="77777777" w:rsidR="00154018" w:rsidRDefault="00154018" w:rsidP="00970B85">
      <w:r>
        <w:separator/>
      </w:r>
    </w:p>
  </w:endnote>
  <w:endnote w:type="continuationSeparator" w:id="0">
    <w:p w14:paraId="6DF763D4" w14:textId="77777777" w:rsidR="00154018" w:rsidRDefault="00154018" w:rsidP="00970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28ECE3" w14:textId="77777777" w:rsidR="00154018" w:rsidRDefault="00154018" w:rsidP="00970B85">
      <w:r>
        <w:separator/>
      </w:r>
    </w:p>
  </w:footnote>
  <w:footnote w:type="continuationSeparator" w:id="0">
    <w:p w14:paraId="2E48E3DC" w14:textId="77777777" w:rsidR="00154018" w:rsidRDefault="00154018" w:rsidP="00970B85">
      <w:r>
        <w:continuationSeparator/>
      </w:r>
    </w:p>
  </w:footnote>
  <w:footnote w:id="1">
    <w:p w14:paraId="5769FD97" w14:textId="77777777" w:rsidR="00425302" w:rsidRDefault="00425302">
      <w:pPr>
        <w:pStyle w:val="FootnoteText"/>
      </w:pPr>
      <w:r>
        <w:rPr>
          <w:rStyle w:val="FootnoteReference"/>
        </w:rPr>
        <w:footnoteRef/>
      </w:r>
      <w:r>
        <w:t xml:space="preserve"> </w:t>
      </w:r>
      <w:r w:rsidRPr="00970B85">
        <w:rPr>
          <w:rFonts w:ascii="Times New Roman" w:hAnsi="Times New Roman" w:cs="Times New Roman"/>
        </w:rPr>
        <w:t xml:space="preserve">Paul R. House, </w:t>
      </w:r>
      <w:r w:rsidRPr="00970B85">
        <w:rPr>
          <w:rFonts w:ascii="Times New Roman" w:hAnsi="Times New Roman" w:cs="Times New Roman"/>
          <w:i/>
        </w:rPr>
        <w:t>Old Testament Theology</w:t>
      </w:r>
      <w:r>
        <w:rPr>
          <w:rFonts w:ascii="Times New Roman" w:hAnsi="Times New Roman" w:cs="Times New Roman"/>
          <w:i/>
        </w:rPr>
        <w:t>, 17.</w:t>
      </w:r>
    </w:p>
  </w:footnote>
  <w:footnote w:id="2">
    <w:p w14:paraId="183263D9" w14:textId="77777777" w:rsidR="00970B85" w:rsidRPr="00970B85" w:rsidRDefault="00970B85">
      <w:pPr>
        <w:pStyle w:val="FootnoteText"/>
        <w:rPr>
          <w:rFonts w:ascii="Times New Roman" w:hAnsi="Times New Roman" w:cs="Times New Roman"/>
        </w:rPr>
      </w:pPr>
      <w:r w:rsidRPr="00970B85">
        <w:rPr>
          <w:rStyle w:val="FootnoteReference"/>
          <w:rFonts w:ascii="Times New Roman" w:hAnsi="Times New Roman" w:cs="Times New Roman"/>
        </w:rPr>
        <w:footnoteRef/>
      </w:r>
      <w:r w:rsidRPr="00970B85">
        <w:rPr>
          <w:rFonts w:ascii="Times New Roman" w:hAnsi="Times New Roman" w:cs="Times New Roman"/>
        </w:rPr>
        <w:t xml:space="preserve"> For a complete picture of the </w:t>
      </w:r>
      <w:r>
        <w:rPr>
          <w:rFonts w:ascii="Times New Roman" w:hAnsi="Times New Roman" w:cs="Times New Roman"/>
        </w:rPr>
        <w:t>d</w:t>
      </w:r>
      <w:r w:rsidRPr="00970B85">
        <w:rPr>
          <w:rFonts w:ascii="Times New Roman" w:hAnsi="Times New Roman" w:cs="Times New Roman"/>
        </w:rPr>
        <w:t xml:space="preserve">evelopment of the discipline see Paul R. House, </w:t>
      </w:r>
      <w:r w:rsidRPr="00970B85">
        <w:rPr>
          <w:rFonts w:ascii="Times New Roman" w:hAnsi="Times New Roman" w:cs="Times New Roman"/>
          <w:i/>
        </w:rPr>
        <w:t>Old Testament Theology</w:t>
      </w:r>
      <w:r w:rsidRPr="00970B85">
        <w:rPr>
          <w:rFonts w:ascii="Times New Roman" w:hAnsi="Times New Roman" w:cs="Times New Roman"/>
        </w:rPr>
        <w:t>, 15ff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7372B"/>
    <w:multiLevelType w:val="hybridMultilevel"/>
    <w:tmpl w:val="A7DC4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B61"/>
    <w:rsid w:val="000818D1"/>
    <w:rsid w:val="000F3BC9"/>
    <w:rsid w:val="000F7D99"/>
    <w:rsid w:val="00152FF7"/>
    <w:rsid w:val="00154018"/>
    <w:rsid w:val="00245F45"/>
    <w:rsid w:val="00295E40"/>
    <w:rsid w:val="002D5BE9"/>
    <w:rsid w:val="00321750"/>
    <w:rsid w:val="0035531D"/>
    <w:rsid w:val="003B67EA"/>
    <w:rsid w:val="00425302"/>
    <w:rsid w:val="004438CC"/>
    <w:rsid w:val="00635572"/>
    <w:rsid w:val="006C525A"/>
    <w:rsid w:val="006F54A7"/>
    <w:rsid w:val="006F790C"/>
    <w:rsid w:val="00836B61"/>
    <w:rsid w:val="00883452"/>
    <w:rsid w:val="00916DA1"/>
    <w:rsid w:val="00970B85"/>
    <w:rsid w:val="009852C8"/>
    <w:rsid w:val="00A2060F"/>
    <w:rsid w:val="00AC1ED2"/>
    <w:rsid w:val="00B4166E"/>
    <w:rsid w:val="00C52B44"/>
    <w:rsid w:val="00C7253E"/>
    <w:rsid w:val="00CD158C"/>
    <w:rsid w:val="00FE1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ADE7C"/>
  <w15:chartTrackingRefBased/>
  <w15:docId w15:val="{0A21E227-541E-E24B-AC1D-00DCD5904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B61"/>
    <w:pPr>
      <w:ind w:left="720"/>
      <w:contextualSpacing/>
    </w:pPr>
  </w:style>
  <w:style w:type="paragraph" w:styleId="FootnoteText">
    <w:name w:val="footnote text"/>
    <w:basedOn w:val="Normal"/>
    <w:link w:val="FootnoteTextChar"/>
    <w:uiPriority w:val="99"/>
    <w:semiHidden/>
    <w:unhideWhenUsed/>
    <w:rsid w:val="00970B85"/>
    <w:rPr>
      <w:sz w:val="20"/>
      <w:szCs w:val="20"/>
    </w:rPr>
  </w:style>
  <w:style w:type="character" w:customStyle="1" w:styleId="FootnoteTextChar">
    <w:name w:val="Footnote Text Char"/>
    <w:basedOn w:val="DefaultParagraphFont"/>
    <w:link w:val="FootnoteText"/>
    <w:uiPriority w:val="99"/>
    <w:semiHidden/>
    <w:rsid w:val="00970B85"/>
    <w:rPr>
      <w:sz w:val="20"/>
      <w:szCs w:val="20"/>
    </w:rPr>
  </w:style>
  <w:style w:type="character" w:styleId="FootnoteReference">
    <w:name w:val="footnote reference"/>
    <w:basedOn w:val="DefaultParagraphFont"/>
    <w:uiPriority w:val="99"/>
    <w:semiHidden/>
    <w:unhideWhenUsed/>
    <w:rsid w:val="00970B85"/>
    <w:rPr>
      <w:vertAlign w:val="superscript"/>
    </w:rPr>
  </w:style>
  <w:style w:type="paragraph" w:styleId="NormalWeb">
    <w:name w:val="Normal (Web)"/>
    <w:basedOn w:val="Normal"/>
    <w:uiPriority w:val="99"/>
    <w:semiHidden/>
    <w:unhideWhenUsed/>
    <w:rsid w:val="0042530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5301189">
      <w:bodyDiv w:val="1"/>
      <w:marLeft w:val="0"/>
      <w:marRight w:val="0"/>
      <w:marTop w:val="0"/>
      <w:marBottom w:val="0"/>
      <w:divBdr>
        <w:top w:val="none" w:sz="0" w:space="0" w:color="auto"/>
        <w:left w:val="none" w:sz="0" w:space="0" w:color="auto"/>
        <w:bottom w:val="none" w:sz="0" w:space="0" w:color="auto"/>
        <w:right w:val="none" w:sz="0" w:space="0" w:color="auto"/>
      </w:divBdr>
      <w:divsChild>
        <w:div w:id="1840344134">
          <w:marLeft w:val="0"/>
          <w:marRight w:val="0"/>
          <w:marTop w:val="0"/>
          <w:marBottom w:val="0"/>
          <w:divBdr>
            <w:top w:val="none" w:sz="0" w:space="0" w:color="auto"/>
            <w:left w:val="none" w:sz="0" w:space="0" w:color="auto"/>
            <w:bottom w:val="none" w:sz="0" w:space="0" w:color="auto"/>
            <w:right w:val="none" w:sz="0" w:space="0" w:color="auto"/>
          </w:divBdr>
          <w:divsChild>
            <w:div w:id="2140370395">
              <w:marLeft w:val="0"/>
              <w:marRight w:val="0"/>
              <w:marTop w:val="0"/>
              <w:marBottom w:val="0"/>
              <w:divBdr>
                <w:top w:val="none" w:sz="0" w:space="0" w:color="auto"/>
                <w:left w:val="none" w:sz="0" w:space="0" w:color="auto"/>
                <w:bottom w:val="none" w:sz="0" w:space="0" w:color="auto"/>
                <w:right w:val="none" w:sz="0" w:space="0" w:color="auto"/>
              </w:divBdr>
              <w:divsChild>
                <w:div w:id="3573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864968">
      <w:bodyDiv w:val="1"/>
      <w:marLeft w:val="0"/>
      <w:marRight w:val="0"/>
      <w:marTop w:val="0"/>
      <w:marBottom w:val="0"/>
      <w:divBdr>
        <w:top w:val="none" w:sz="0" w:space="0" w:color="auto"/>
        <w:left w:val="none" w:sz="0" w:space="0" w:color="auto"/>
        <w:bottom w:val="none" w:sz="0" w:space="0" w:color="auto"/>
        <w:right w:val="none" w:sz="0" w:space="0" w:color="auto"/>
      </w:divBdr>
      <w:divsChild>
        <w:div w:id="2065374122">
          <w:marLeft w:val="0"/>
          <w:marRight w:val="0"/>
          <w:marTop w:val="0"/>
          <w:marBottom w:val="0"/>
          <w:divBdr>
            <w:top w:val="none" w:sz="0" w:space="0" w:color="auto"/>
            <w:left w:val="none" w:sz="0" w:space="0" w:color="auto"/>
            <w:bottom w:val="none" w:sz="0" w:space="0" w:color="auto"/>
            <w:right w:val="none" w:sz="0" w:space="0" w:color="auto"/>
          </w:divBdr>
          <w:divsChild>
            <w:div w:id="178546388">
              <w:marLeft w:val="0"/>
              <w:marRight w:val="0"/>
              <w:marTop w:val="0"/>
              <w:marBottom w:val="0"/>
              <w:divBdr>
                <w:top w:val="none" w:sz="0" w:space="0" w:color="auto"/>
                <w:left w:val="none" w:sz="0" w:space="0" w:color="auto"/>
                <w:bottom w:val="none" w:sz="0" w:space="0" w:color="auto"/>
                <w:right w:val="none" w:sz="0" w:space="0" w:color="auto"/>
              </w:divBdr>
              <w:divsChild>
                <w:div w:id="3844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884069">
      <w:bodyDiv w:val="1"/>
      <w:marLeft w:val="0"/>
      <w:marRight w:val="0"/>
      <w:marTop w:val="0"/>
      <w:marBottom w:val="0"/>
      <w:divBdr>
        <w:top w:val="none" w:sz="0" w:space="0" w:color="auto"/>
        <w:left w:val="none" w:sz="0" w:space="0" w:color="auto"/>
        <w:bottom w:val="none" w:sz="0" w:space="0" w:color="auto"/>
        <w:right w:val="none" w:sz="0" w:space="0" w:color="auto"/>
      </w:divBdr>
      <w:divsChild>
        <w:div w:id="63533216">
          <w:marLeft w:val="0"/>
          <w:marRight w:val="0"/>
          <w:marTop w:val="0"/>
          <w:marBottom w:val="0"/>
          <w:divBdr>
            <w:top w:val="none" w:sz="0" w:space="0" w:color="auto"/>
            <w:left w:val="none" w:sz="0" w:space="0" w:color="auto"/>
            <w:bottom w:val="none" w:sz="0" w:space="0" w:color="auto"/>
            <w:right w:val="none" w:sz="0" w:space="0" w:color="auto"/>
          </w:divBdr>
          <w:divsChild>
            <w:div w:id="880751790">
              <w:marLeft w:val="0"/>
              <w:marRight w:val="0"/>
              <w:marTop w:val="0"/>
              <w:marBottom w:val="0"/>
              <w:divBdr>
                <w:top w:val="none" w:sz="0" w:space="0" w:color="auto"/>
                <w:left w:val="none" w:sz="0" w:space="0" w:color="auto"/>
                <w:bottom w:val="none" w:sz="0" w:space="0" w:color="auto"/>
                <w:right w:val="none" w:sz="0" w:space="0" w:color="auto"/>
              </w:divBdr>
              <w:divsChild>
                <w:div w:id="16035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105841">
      <w:bodyDiv w:val="1"/>
      <w:marLeft w:val="0"/>
      <w:marRight w:val="0"/>
      <w:marTop w:val="0"/>
      <w:marBottom w:val="0"/>
      <w:divBdr>
        <w:top w:val="none" w:sz="0" w:space="0" w:color="auto"/>
        <w:left w:val="none" w:sz="0" w:space="0" w:color="auto"/>
        <w:bottom w:val="none" w:sz="0" w:space="0" w:color="auto"/>
        <w:right w:val="none" w:sz="0" w:space="0" w:color="auto"/>
      </w:divBdr>
      <w:divsChild>
        <w:div w:id="603533495">
          <w:marLeft w:val="0"/>
          <w:marRight w:val="0"/>
          <w:marTop w:val="0"/>
          <w:marBottom w:val="0"/>
          <w:divBdr>
            <w:top w:val="none" w:sz="0" w:space="0" w:color="auto"/>
            <w:left w:val="none" w:sz="0" w:space="0" w:color="auto"/>
            <w:bottom w:val="none" w:sz="0" w:space="0" w:color="auto"/>
            <w:right w:val="none" w:sz="0" w:space="0" w:color="auto"/>
          </w:divBdr>
          <w:divsChild>
            <w:div w:id="1769545060">
              <w:marLeft w:val="0"/>
              <w:marRight w:val="0"/>
              <w:marTop w:val="0"/>
              <w:marBottom w:val="0"/>
              <w:divBdr>
                <w:top w:val="none" w:sz="0" w:space="0" w:color="auto"/>
                <w:left w:val="none" w:sz="0" w:space="0" w:color="auto"/>
                <w:bottom w:val="none" w:sz="0" w:space="0" w:color="auto"/>
                <w:right w:val="none" w:sz="0" w:space="0" w:color="auto"/>
              </w:divBdr>
              <w:divsChild>
                <w:div w:id="57016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87603-B3F4-7547-B959-F35062451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3</Pages>
  <Words>1533</Words>
  <Characters>8744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Ezeokeke</dc:creator>
  <cp:keywords/>
  <dc:description/>
  <cp:lastModifiedBy>Gregory Ezeokeke</cp:lastModifiedBy>
  <cp:revision>19</cp:revision>
  <dcterms:created xsi:type="dcterms:W3CDTF">2020-09-16T16:14:00Z</dcterms:created>
  <dcterms:modified xsi:type="dcterms:W3CDTF">2020-10-05T12:51:00Z</dcterms:modified>
</cp:coreProperties>
</file>