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Course: </w:t>
      </w:r>
      <w:r>
        <w:rPr>
          <w:rFonts w:hint="default" w:ascii="Times New Roman" w:hAnsi="Times New Roman" w:eastAsia="+Body" w:cs="Times New Roman"/>
          <w:caps w:val="0"/>
          <w:smallCaps/>
          <w:sz w:val="24"/>
          <w:szCs w:val="24"/>
          <w:lang w:val="en-US"/>
        </w:rPr>
        <w:t>Theology of the New Testament</w:t>
      </w:r>
    </w:p>
    <w:p>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Reg. No. DI/844</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Lecturer: Rev Fr Prof. Gilbert Munana, OP</w:t>
      </w:r>
    </w:p>
    <w:p>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Summarise “</w:t>
      </w:r>
      <w:r>
        <w:rPr>
          <w:rFonts w:hint="default" w:ascii="Times New Roman" w:hAnsi="Times New Roman" w:cs="Times New Roman"/>
          <w:sz w:val="24"/>
          <w:szCs w:val="24"/>
          <w:lang w:val="en-US" w:eastAsia="zh-CN"/>
        </w:rPr>
        <w:t>Unity and/or/in Diversity?: A Survey of Recent New Testament Theologies”</w:t>
      </w:r>
    </w:p>
    <w:p>
      <w:pPr>
        <w:keepNext w:val="0"/>
        <w:keepLines w:val="0"/>
        <w:pageBreakBefore w:val="0"/>
        <w:widowControl/>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For the students of New Testament Theology, it is said that one of the most debated issues is that that borders on whether the New Testament  can be said to have some theological unity in obvious diversity or is it irreconciliably diverse. Scholars are parted on this. For some it is essentially diverse while others hold to its unity, but great many scholars subscribe to its diversity while upholding its unity. However, delineating this conclusion has not been without some challenges. In this article, Dr Wendel Sun argues for both research approach that treats as sacrosanct the inherent diversity without neglecting the unity of the New Testament. While exploring the trends in recent scholarship as regards the subject of unity and diversity in New Testament Theology, he (Dr Sun) contributes in by recommending ways to the flourishing discourse as this obviously has implication for New Testament Theology and exegesis.</w:t>
      </w:r>
      <w:r>
        <w:rPr>
          <w:rStyle w:val="4"/>
          <w:rFonts w:hint="default" w:ascii="Times New Roman" w:hAnsi="Times New Roman" w:cs="Times New Roman"/>
          <w:sz w:val="24"/>
          <w:szCs w:val="24"/>
          <w:lang w:val="en-US"/>
        </w:rPr>
        <w:footnoteReference w:id="0"/>
      </w:r>
    </w:p>
    <w:p>
      <w:pPr>
        <w:keepNext w:val="0"/>
        <w:keepLines w:val="0"/>
        <w:pageBreakBefore w:val="0"/>
        <w:widowControl/>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Sun reviews eight selected seasoned authorial contributions to the discourse on unity and /or/ in diversity in New Testament Theology. Six out of the eight authors uphold the point that theological discussion in New Testament Theology is not only desirable but inevitable. This is in sharp contrast to Heikki Raisanen and Thomas Hatina who suggest that a unified New Testament theology is not only undesirable but impossible. Raisanen moves for an approach which is strictly historical and descriptive with no bearing around theological issues, that is, normative. Like him, Hatina is concerned on the contemporary relevance of the diverse theological tenets of New Testament authors making no room for a study that attempts to appreciate the New Testament in its particularity and its diversity.</w:t>
      </w:r>
    </w:p>
    <w:p>
      <w:pPr>
        <w:keepNext w:val="0"/>
        <w:keepLines w:val="0"/>
        <w:pageBreakBefore w:val="0"/>
        <w:widowControl/>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other authors, Howard Marshal, Frank Thielman, Frank Materai, Thomas Schreiner, Udo Schelle and G.K Beale while showing the diversity in the New Testament writings attempt to bring to light possible central contour around which they revolve. Marshal situated the unity of the New Testament Theology in the missionary mandate of those who believe. In Thielman, the person of Jesus, the faith response of believers, the action of the Holy Spirit, the place of the church and the consummation of all things are the central and overarching emphasis of the New Testament authors. Like him, Schreiner sees unity within the whole christian canon. The New Testament theology has the Trinity as the center and talks about the “already” and “yet to be” (promise fulfilled and yet to be consummated) of the christian message. Schenelle while firmly affirming the diversity of the New Testament since it was set in diverse historical situation saw unity in the fact that the earliest Christians were only trying to make sense of the life, death and resurrection of Jesus and their experience of salvation. G.K Beale attempt a unified biblical theology in positing a storyline that revolves around eschatology beginning from Old Testament to the New Testament wherein the New is founded on the Old, but transforms it.</w:t>
      </w:r>
    </w:p>
    <w:p>
      <w:pPr>
        <w:keepNext w:val="0"/>
        <w:keepLines w:val="0"/>
        <w:pageBreakBefore w:val="0"/>
        <w:widowControl/>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Sun while considering the commendable contributions of the authors under review advocates for an inclusive approach. An approach that take into consideration the strengths of the authors under review. He advocates for a method that considers the historical approach without undermining the canonical unity of the New Testament. Failure at a conciliatory approach will leave unsettled the apparent contradiction/discrepancies</w:t>
      </w:r>
      <w:r>
        <w:rPr>
          <w:rStyle w:val="4"/>
          <w:rFonts w:hint="default" w:ascii="Times New Roman" w:hAnsi="Times New Roman" w:cs="Times New Roman"/>
          <w:sz w:val="24"/>
          <w:szCs w:val="24"/>
          <w:lang w:val="en-US"/>
        </w:rPr>
        <w:footnoteReference w:id="1"/>
      </w:r>
      <w:r>
        <w:rPr>
          <w:rFonts w:hint="default" w:ascii="Times New Roman" w:hAnsi="Times New Roman" w:cs="Times New Roman"/>
          <w:sz w:val="24"/>
          <w:szCs w:val="24"/>
          <w:lang w:val="en-US"/>
        </w:rPr>
        <w:t xml:space="preserve"> as well as blur the central understanding of the New Testament. This obviously is of great disservice to the Church.</w:t>
      </w:r>
    </w:p>
    <w:p>
      <w:pPr>
        <w:keepNext w:val="0"/>
        <w:keepLines w:val="0"/>
        <w:pageBreakBefore w:val="0"/>
        <w:widowControl/>
        <w:kinsoku/>
        <w:wordWrap/>
        <w:overflowPunct/>
        <w:topLinePunct w:val="0"/>
        <w:autoSpaceDE/>
        <w:autoSpaceDN/>
        <w:bidi w:val="0"/>
        <w:adjustRightInd/>
        <w:snapToGrid/>
        <w:spacing w:after="0" w:line="360" w:lineRule="auto"/>
        <w:ind w:firstLine="418"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Another important consideration is the need to arrive at theological conclusions with sufficient exegetical foundations. The attempt at unity will yield more result if theological themes are given strong exegetical grounding. It has to two effects. On the one hand, it spurs scholars, consequently opens up more research avenue and allows room for individual exegesis by lay people.</w:t>
      </w:r>
    </w:p>
    <w:p>
      <w:pPr>
        <w:keepNext w:val="0"/>
        <w:keepLines w:val="0"/>
        <w:pageBreakBefore w:val="0"/>
        <w:widowControl/>
        <w:tabs>
          <w:tab w:val="left" w:pos="3960"/>
        </w:tabs>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rPr>
        <w:t>Dr Sun recommends the exploration of the storyline techniques. He argues thus: The “f</w:t>
      </w:r>
      <w:r>
        <w:rPr>
          <w:rFonts w:hint="default" w:ascii="Times New Roman" w:hAnsi="Times New Roman" w:cs="Times New Roman"/>
          <w:sz w:val="24"/>
          <w:szCs w:val="24"/>
          <w:lang w:val="en-US" w:eastAsia="zh-CN"/>
        </w:rPr>
        <w:t>uture NTTs [New Testament Theologies] should build on these insights to locate the basic theological unity of the NT within its narrative structure. This would also pave the way for further work in whole-Bible biblical theology.”</w:t>
      </w:r>
      <w:r>
        <w:rPr>
          <w:rStyle w:val="4"/>
          <w:rFonts w:hint="default" w:ascii="Times New Roman" w:hAnsi="Times New Roman" w:cs="Times New Roman"/>
          <w:sz w:val="24"/>
          <w:szCs w:val="24"/>
          <w:lang w:val="en-US" w:eastAsia="zh-CN"/>
        </w:rPr>
        <w:footnoteReference w:id="2"/>
      </w:r>
      <w:r>
        <w:rPr>
          <w:rFonts w:hint="default" w:ascii="Times New Roman" w:hAnsi="Times New Roman" w:cs="Times New Roman"/>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 xml:space="preserve">In conclusion, the many approaches to New Testament Theology are valid. However, some yield better results than the other. Dr Sun advocates for a sort of comparative approach. While not neglecting the historical, the exegetical, thematic and narrative techniques must be considered if NTTs must be of service to the Church. </w:t>
      </w:r>
      <w:bookmarkStart w:id="0" w:name="_GoBack"/>
      <w:bookmarkEnd w:id="0"/>
    </w:p>
    <w:sectPr>
      <w:pgSz w:w="11906" w:h="16838"/>
      <w:pgMar w:top="1440" w:right="1800" w:bottom="10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Body">
    <w:altName w:val="Ezra SIL SR"/>
    <w:panose1 w:val="00000000000000000000"/>
    <w:charset w:val="00"/>
    <w:family w:val="auto"/>
    <w:pitch w:val="default"/>
    <w:sig w:usb0="00000000" w:usb1="00000000" w:usb2="00000000" w:usb3="00000000" w:csb0="00000000" w:csb1="00000000"/>
  </w:font>
  <w:font w:name="Ezra SIL SR">
    <w:panose1 w:val="02000400000000000000"/>
    <w:charset w:val="00"/>
    <w:family w:val="auto"/>
    <w:pitch w:val="default"/>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
        <w:snapToGrid w:val="0"/>
        <w:rPr>
          <w:rFonts w:hint="default" w:ascii="Times New Roman" w:hAnsi="Times New Roman" w:cs="Times New Roman"/>
          <w:sz w:val="20"/>
          <w:szCs w:val="20"/>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W. Hulitt Gloer, “Unity and Diversity in the New Testament: Anatomy of An Issue” Downloaded from btb.sagepub.com at Nanyang Tech Univ Library.</w:t>
      </w:r>
    </w:p>
  </w:footnote>
  <w:footnote w:id="1">
    <w:p>
      <w:pPr>
        <w:pStyle w:val="2"/>
        <w:keepNext w:val="0"/>
        <w:keepLines w:val="0"/>
        <w:pageBreakBefore w:val="0"/>
        <w:widowControl/>
        <w:kinsoku/>
        <w:wordWrap/>
        <w:overflowPunct/>
        <w:topLinePunct w:val="0"/>
        <w:autoSpaceDE/>
        <w:autoSpaceDN/>
        <w:bidi w:val="0"/>
        <w:adjustRightInd/>
        <w:snapToGrid w:val="0"/>
        <w:spacing w:after="0"/>
        <w:textAlignment w:val="auto"/>
        <w:rPr>
          <w:rFonts w:hint="default" w:ascii="Times New Roman" w:hAnsi="Times New Roman" w:cs="Times New Roman"/>
          <w:sz w:val="20"/>
          <w:szCs w:val="20"/>
          <w:lang w:val="en-US"/>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rPr>
        <w:t xml:space="preserve">Cf. Wendel Sun, </w:t>
      </w:r>
      <w:r>
        <w:rPr>
          <w:rFonts w:hint="default" w:ascii="Times New Roman" w:hAnsi="Times New Roman" w:cs="Times New Roman"/>
          <w:sz w:val="20"/>
          <w:szCs w:val="20"/>
          <w:lang w:val="en-US" w:eastAsia="zh-CN"/>
        </w:rPr>
        <w:t>Unity and/or/in Diversity?: p. 19</w:t>
      </w:r>
    </w:p>
  </w:footnote>
  <w:footnote w:id="2">
    <w:p>
      <w:pPr>
        <w:pStyle w:val="2"/>
        <w:keepNext w:val="0"/>
        <w:keepLines w:val="0"/>
        <w:pageBreakBefore w:val="0"/>
        <w:widowControl/>
        <w:kinsoku/>
        <w:wordWrap/>
        <w:overflowPunct/>
        <w:topLinePunct w:val="0"/>
        <w:autoSpaceDE/>
        <w:autoSpaceDN/>
        <w:bidi w:val="0"/>
        <w:adjustRightInd/>
        <w:snapToGrid w:val="0"/>
        <w:spacing w:after="0"/>
        <w:textAlignment w:val="auto"/>
        <w:rPr>
          <w:rFonts w:hint="default"/>
          <w:sz w:val="20"/>
          <w:szCs w:val="20"/>
          <w:lang w:val="en-US"/>
        </w:rPr>
      </w:pPr>
      <w:r>
        <w:rPr>
          <w:rStyle w:val="4"/>
          <w:sz w:val="20"/>
          <w:szCs w:val="20"/>
        </w:rPr>
        <w:footnoteRef/>
      </w:r>
      <w:r>
        <w:rPr>
          <w:sz w:val="20"/>
          <w:szCs w:val="20"/>
        </w:rPr>
        <w:t xml:space="preserve"> </w:t>
      </w:r>
      <w:r>
        <w:rPr>
          <w:rFonts w:hint="default" w:ascii="Times New Roman" w:hAnsi="Times New Roman" w:cs="Times New Roman"/>
          <w:sz w:val="20"/>
          <w:szCs w:val="20"/>
          <w:lang w:val="en-US"/>
        </w:rPr>
        <w:t xml:space="preserve">Cf. Wendel Sun, </w:t>
      </w:r>
      <w:r>
        <w:rPr>
          <w:rFonts w:hint="default" w:ascii="Times New Roman" w:hAnsi="Times New Roman" w:cs="Times New Roman"/>
          <w:sz w:val="20"/>
          <w:szCs w:val="20"/>
          <w:lang w:val="en-US" w:eastAsia="zh-CN"/>
        </w:rPr>
        <w:t>Unity and/or/in Diversity?: p. 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9F1AD8"/>
    <w:rsid w:val="169F1AD8"/>
    <w:rsid w:val="2C562C0A"/>
    <w:rsid w:val="3C837CB7"/>
    <w:rsid w:val="6AB34FA4"/>
    <w:rsid w:val="6C8A7901"/>
    <w:rsid w:val="7BAF7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3">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note text"/>
    <w:basedOn w:val="1"/>
    <w:uiPriority w:val="0"/>
    <w:pPr>
      <w:snapToGrid w:val="0"/>
      <w:jc w:val="left"/>
    </w:pPr>
    <w:rPr>
      <w:sz w:val="18"/>
      <w:szCs w:val="18"/>
    </w:rPr>
  </w:style>
  <w:style w:type="character" w:styleId="4">
    <w:name w:val="footnote reference"/>
    <w:basedOn w:val="3"/>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2020-11-25T08:21:00Z</dcterms:created>
  <dc:creator>me</dc:creator>
  <cp:lastModifiedBy>Henry Okolo</cp:lastModifiedBy>
  <dcterms:modified xsi:type="dcterms:W3CDTF">2020-11-25T23:15:06Z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