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footer1.xml" ContentType="application/vnd.openxmlformats-officedocument.wordprocessingml.footer+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0"/>
        <w:spacing w:lineRule="auto" w:line="240"/>
        <w:jc w:val="center"/>
        <w:rPr>
          <w:rFonts w:ascii="Times New Roman" w:cs="Times New Roman" w:hAnsi="Times New Roman"/>
          <w:sz w:val="24"/>
          <w:szCs w:val="24"/>
        </w:rPr>
      </w:pPr>
      <w:r>
        <w:rPr>
          <w:rFonts w:ascii="Times New Roman" w:cs="Times New Roman" w:hAnsi="Times New Roman"/>
          <w:sz w:val="24"/>
          <w:szCs w:val="24"/>
        </w:rPr>
        <w:t>CANDIDATE’S NAME</w:t>
      </w:r>
      <w:r>
        <w:rPr>
          <w:rFonts w:ascii="Times New Roman" w:cs="Times New Roman" w:hAnsi="Times New Roman"/>
          <w:sz w:val="24"/>
          <w:szCs w:val="24"/>
        </w:rPr>
        <w:t xml:space="preserve">: </w:t>
      </w:r>
      <w:r>
        <w:rPr>
          <w:rFonts w:ascii="Times New Roman" w:cs="Times New Roman" w:hAnsi="Times New Roman"/>
          <w:b/>
          <w:sz w:val="24"/>
          <w:szCs w:val="24"/>
        </w:rPr>
        <w:t>NWAEZE ABEL AMUCHE</w:t>
      </w:r>
      <w:r>
        <w:rPr>
          <w:rFonts w:ascii="Times New Roman" w:cs="Times New Roman" w:hAnsi="Times New Roman"/>
          <w:sz w:val="24"/>
          <w:szCs w:val="24"/>
        </w:rPr>
        <w:t xml:space="preserve"> (</w:t>
      </w:r>
      <w:r>
        <w:rPr>
          <w:rFonts w:ascii="Times New Roman" w:cs="Times New Roman" w:hAnsi="Times New Roman"/>
          <w:b/>
          <w:sz w:val="24"/>
          <w:szCs w:val="24"/>
        </w:rPr>
        <w:t>DI/875</w:t>
      </w:r>
      <w:r>
        <w:rPr>
          <w:rFonts w:ascii="Times New Roman" w:cs="Times New Roman" w:hAnsi="Times New Roman"/>
          <w:sz w:val="24"/>
          <w:szCs w:val="24"/>
        </w:rPr>
        <w:t>)</w:t>
      </w:r>
    </w:p>
    <w:p>
      <w:pPr>
        <w:pStyle w:val="style0"/>
        <w:spacing w:lineRule="auto" w:line="480"/>
        <w:jc w:val="center"/>
        <w:rPr>
          <w:rFonts w:ascii="Times New Roman" w:cs="Times New Roman" w:hAnsi="Times New Roman"/>
          <w:b/>
          <w:sz w:val="24"/>
          <w:szCs w:val="24"/>
        </w:rPr>
      </w:pPr>
      <w:r>
        <w:rPr>
          <w:rFonts w:ascii="Times New Roman" w:cs="Times New Roman" w:hAnsi="Times New Roman"/>
          <w:sz w:val="24"/>
          <w:szCs w:val="24"/>
        </w:rPr>
        <w:t xml:space="preserve">QUESTION 1: </w:t>
      </w:r>
      <w:r>
        <w:rPr>
          <w:rFonts w:ascii="Times New Roman" w:cs="Times New Roman" w:hAnsi="Times New Roman"/>
          <w:sz w:val="24"/>
          <w:szCs w:val="24"/>
        </w:rPr>
        <w:t>“</w:t>
      </w:r>
      <w:r>
        <w:rPr>
          <w:rFonts w:ascii="Times New Roman" w:cs="Times New Roman" w:hAnsi="Times New Roman"/>
          <w:b/>
          <w:sz w:val="24"/>
          <w:szCs w:val="24"/>
        </w:rPr>
        <w:t xml:space="preserve">The </w:t>
      </w:r>
      <w:r>
        <w:rPr>
          <w:rFonts w:ascii="Times New Roman" w:cs="Times New Roman" w:hAnsi="Times New Roman"/>
          <w:b/>
          <w:sz w:val="24"/>
          <w:szCs w:val="24"/>
        </w:rPr>
        <w:t xml:space="preserve">New </w:t>
      </w:r>
      <w:r>
        <w:rPr>
          <w:rFonts w:ascii="Times New Roman" w:cs="Times New Roman" w:hAnsi="Times New Roman"/>
          <w:b/>
          <w:sz w:val="24"/>
          <w:szCs w:val="24"/>
        </w:rPr>
        <w:t>Testament Theology” is the title of some academic syllabi (courses). Does it exist?</w:t>
      </w:r>
    </w:p>
    <w:p>
      <w:pPr>
        <w:pStyle w:val="style0"/>
        <w:spacing w:lineRule="auto" w:line="480"/>
        <w:jc w:val="center"/>
        <w:rPr>
          <w:rFonts w:ascii="Times New Roman" w:cs="Times New Roman" w:hAnsi="Times New Roman"/>
          <w:b/>
          <w:sz w:val="24"/>
          <w:szCs w:val="24"/>
          <w:u w:val="single"/>
        </w:rPr>
      </w:pPr>
      <w:r>
        <w:rPr>
          <w:rFonts w:ascii="Times New Roman" w:cs="Times New Roman" w:hAnsi="Times New Roman"/>
          <w:b/>
          <w:sz w:val="24"/>
          <w:szCs w:val="24"/>
          <w:u w:val="single"/>
        </w:rPr>
        <w:t>Attempt</w:t>
      </w:r>
    </w:p>
    <w:p>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There have been arguments as to whether </w:t>
      </w:r>
      <w:r>
        <w:rPr>
          <w:rFonts w:ascii="Times New Roman" w:cs="Times New Roman" w:hAnsi="Times New Roman"/>
          <w:i/>
          <w:sz w:val="24"/>
          <w:szCs w:val="24"/>
        </w:rPr>
        <w:t>New Testament Theology</w:t>
      </w:r>
      <w:r>
        <w:rPr>
          <w:rFonts w:ascii="Times New Roman" w:cs="Times New Roman" w:hAnsi="Times New Roman"/>
          <w:sz w:val="24"/>
          <w:szCs w:val="24"/>
        </w:rPr>
        <w:t xml:space="preserve"> exists, but, there is no gain denying the existence of the course, NT Theology. </w:t>
      </w:r>
      <w:r>
        <w:rPr>
          <w:rFonts w:ascii="Times New Roman" w:cs="Times New Roman" w:hAnsi="Times New Roman"/>
          <w:sz w:val="24"/>
          <w:szCs w:val="24"/>
        </w:rPr>
        <w:t xml:space="preserve"> </w:t>
      </w:r>
      <w:r>
        <w:rPr>
          <w:rFonts w:ascii="Times New Roman" w:cs="Times New Roman" w:hAnsi="Times New Roman"/>
          <w:sz w:val="24"/>
          <w:szCs w:val="24"/>
        </w:rPr>
        <w:t xml:space="preserve">Thus, </w:t>
      </w:r>
      <w:r>
        <w:rPr>
          <w:rFonts w:ascii="Times New Roman" w:cs="Times New Roman" w:hAnsi="Times New Roman"/>
          <w:i/>
          <w:sz w:val="24"/>
          <w:szCs w:val="24"/>
        </w:rPr>
        <w:t>yes</w:t>
      </w:r>
      <w:r>
        <w:rPr>
          <w:rFonts w:ascii="Times New Roman" w:cs="Times New Roman" w:hAnsi="Times New Roman"/>
          <w:sz w:val="24"/>
          <w:szCs w:val="24"/>
        </w:rPr>
        <w:t>, the</w:t>
      </w:r>
      <w:r>
        <w:rPr>
          <w:rFonts w:ascii="Times New Roman" w:cs="Times New Roman" w:hAnsi="Times New Roman"/>
          <w:sz w:val="24"/>
          <w:szCs w:val="24"/>
        </w:rPr>
        <w:t xml:space="preserve"> NT</w:t>
      </w:r>
      <w:r>
        <w:rPr>
          <w:rFonts w:ascii="Times New Roman" w:cs="Times New Roman" w:hAnsi="Times New Roman"/>
          <w:sz w:val="24"/>
          <w:szCs w:val="24"/>
        </w:rPr>
        <w:t xml:space="preserve"> Theology exists, although problematic and that is because the course is a distinct area of inquiry, emerge only with the rise of historical criticism. </w:t>
      </w:r>
      <w:r>
        <w:rPr>
          <w:rFonts w:ascii="Times New Roman" w:cs="Times New Roman" w:hAnsi="Times New Roman"/>
          <w:sz w:val="24"/>
          <w:szCs w:val="24"/>
        </w:rPr>
        <w:t xml:space="preserve">So, as a discipline, it is one of the lager enterprise called Biblical theology, which seeks to trace the origins and growth of Biblical teaching and to set forth the various types of doctrine apparent in the different writers. NT theology and Biblical theology accordingly, could be classed among the </w:t>
      </w:r>
      <w:r>
        <w:rPr>
          <w:rFonts w:ascii="Times New Roman" w:cs="Times New Roman" w:hAnsi="Times New Roman"/>
          <w:sz w:val="24"/>
          <w:szCs w:val="24"/>
        </w:rPr>
        <w:t>traditional</w:t>
      </w:r>
      <w:r>
        <w:rPr>
          <w:rFonts w:ascii="Times New Roman" w:cs="Times New Roman" w:hAnsi="Times New Roman"/>
          <w:sz w:val="24"/>
          <w:szCs w:val="24"/>
        </w:rPr>
        <w:t xml:space="preserve"> departments of theology; though at the same time they belong essentially to the department of </w:t>
      </w:r>
      <w:r>
        <w:rPr>
          <w:rFonts w:ascii="Times New Roman" w:cs="Times New Roman" w:hAnsi="Times New Roman"/>
          <w:sz w:val="24"/>
          <w:szCs w:val="24"/>
        </w:rPr>
        <w:t>exegetical</w:t>
      </w:r>
      <w:r>
        <w:rPr>
          <w:rFonts w:ascii="Times New Roman" w:cs="Times New Roman" w:hAnsi="Times New Roman"/>
          <w:sz w:val="24"/>
          <w:szCs w:val="24"/>
        </w:rPr>
        <w:t xml:space="preserve"> theology. F</w:t>
      </w:r>
      <w:r>
        <w:rPr>
          <w:rFonts w:ascii="Times New Roman" w:cs="Times New Roman" w:hAnsi="Times New Roman"/>
          <w:sz w:val="24"/>
          <w:szCs w:val="24"/>
        </w:rPr>
        <w:t xml:space="preserve">or their </w:t>
      </w:r>
      <w:r>
        <w:rPr>
          <w:rFonts w:ascii="Times New Roman" w:cs="Times New Roman" w:hAnsi="Times New Roman"/>
          <w:sz w:val="24"/>
          <w:szCs w:val="24"/>
        </w:rPr>
        <w:t>primary</w:t>
      </w:r>
      <w:r>
        <w:rPr>
          <w:rFonts w:ascii="Times New Roman" w:cs="Times New Roman" w:hAnsi="Times New Roman"/>
          <w:sz w:val="24"/>
          <w:szCs w:val="24"/>
        </w:rPr>
        <w:t xml:space="preserve"> t</w:t>
      </w:r>
      <w:r>
        <w:rPr>
          <w:rFonts w:ascii="Times New Roman" w:cs="Times New Roman" w:hAnsi="Times New Roman"/>
          <w:sz w:val="24"/>
          <w:szCs w:val="24"/>
        </w:rPr>
        <w:t>a</w:t>
      </w:r>
      <w:r>
        <w:rPr>
          <w:rFonts w:ascii="Times New Roman" w:cs="Times New Roman" w:hAnsi="Times New Roman"/>
          <w:sz w:val="24"/>
          <w:szCs w:val="24"/>
        </w:rPr>
        <w:t>sk is to furnish a correct grammatico-historical explana</w:t>
      </w:r>
      <w:r>
        <w:rPr>
          <w:rFonts w:ascii="Times New Roman" w:cs="Times New Roman" w:hAnsi="Times New Roman"/>
          <w:sz w:val="24"/>
          <w:szCs w:val="24"/>
        </w:rPr>
        <w:t>tion of the teaching of each B</w:t>
      </w:r>
      <w:r>
        <w:rPr>
          <w:rFonts w:ascii="Times New Roman" w:cs="Times New Roman" w:hAnsi="Times New Roman"/>
          <w:sz w:val="24"/>
          <w:szCs w:val="24"/>
        </w:rPr>
        <w:t>iblical writer</w:t>
      </w:r>
      <w:r>
        <w:rPr>
          <w:rFonts w:ascii="Times New Roman" w:cs="Times New Roman" w:hAnsi="Times New Roman"/>
          <w:sz w:val="24"/>
          <w:szCs w:val="24"/>
        </w:rPr>
        <w:t xml:space="preserve"> </w:t>
      </w:r>
      <w:r>
        <w:rPr>
          <w:rFonts w:ascii="Times New Roman" w:cs="Times New Roman" w:hAnsi="Times New Roman"/>
          <w:sz w:val="24"/>
          <w:szCs w:val="24"/>
        </w:rPr>
        <w:t xml:space="preserve">and to clarify as far as possible the development of </w:t>
      </w:r>
      <w:r>
        <w:rPr>
          <w:rFonts w:ascii="Times New Roman" w:cs="Times New Roman" w:hAnsi="Times New Roman"/>
          <w:sz w:val="24"/>
          <w:szCs w:val="24"/>
        </w:rPr>
        <w:t>each distinct concept in the canonical Scriptures.</w:t>
      </w:r>
    </w:p>
    <w:p>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       Similarly,</w:t>
      </w:r>
      <w:r>
        <w:rPr>
          <w:rFonts w:ascii="Times New Roman" w:cs="Times New Roman" w:hAnsi="Times New Roman"/>
          <w:sz w:val="24"/>
          <w:szCs w:val="24"/>
        </w:rPr>
        <w:t xml:space="preserve"> </w:t>
      </w:r>
      <w:r>
        <w:rPr>
          <w:rFonts w:ascii="Times New Roman" w:cs="Times New Roman" w:hAnsi="Times New Roman"/>
          <w:sz w:val="24"/>
          <w:szCs w:val="24"/>
        </w:rPr>
        <w:t>NT</w:t>
      </w:r>
      <w:r>
        <w:rPr>
          <w:rFonts w:ascii="Times New Roman" w:cs="Times New Roman" w:hAnsi="Times New Roman"/>
          <w:sz w:val="24"/>
          <w:szCs w:val="24"/>
        </w:rPr>
        <w:t xml:space="preserve"> Theology is the exposition of the NT in grammatical, historical and cultural terms. The expression itself could be employed to cover the entire period from Christ’s inauguration of the New Covenant to the consummation of the redemptive program in the future, thereby setting in more adequate perspective seeming disparity between the thousands of years of OT history and the scarce one hundred years of the life of Jesus and the apostles.</w:t>
      </w:r>
    </w:p>
    <w:p>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Consequently</w:t>
      </w:r>
      <w:r>
        <w:rPr>
          <w:rFonts w:ascii="Times New Roman" w:cs="Times New Roman" w:hAnsi="Times New Roman"/>
          <w:sz w:val="24"/>
          <w:szCs w:val="24"/>
        </w:rPr>
        <w:t xml:space="preserve">, as a course, it was </w:t>
      </w:r>
      <w:r>
        <w:rPr>
          <w:rFonts w:ascii="Times New Roman" w:cs="Times New Roman" w:hAnsi="Times New Roman"/>
          <w:sz w:val="24"/>
          <w:szCs w:val="24"/>
        </w:rPr>
        <w:t xml:space="preserve">credited to Philip Gabler in 1787 following his inaugural lecture, </w:t>
      </w:r>
      <w:r>
        <w:rPr>
          <w:rFonts w:ascii="Times New Roman" w:cs="Times New Roman" w:hAnsi="Times New Roman"/>
          <w:i/>
          <w:sz w:val="24"/>
          <w:szCs w:val="24"/>
        </w:rPr>
        <w:t xml:space="preserve">Discourse on the correct Distinction of Biblical and Dogmatic Theology and the correct </w:t>
      </w:r>
      <w:r>
        <w:rPr>
          <w:rFonts w:ascii="Times New Roman" w:cs="Times New Roman" w:hAnsi="Times New Roman"/>
          <w:i/>
          <w:sz w:val="24"/>
          <w:szCs w:val="24"/>
        </w:rPr>
        <w:t>definition</w:t>
      </w:r>
      <w:r>
        <w:rPr>
          <w:rFonts w:ascii="Times New Roman" w:cs="Times New Roman" w:hAnsi="Times New Roman"/>
          <w:i/>
          <w:sz w:val="24"/>
          <w:szCs w:val="24"/>
        </w:rPr>
        <w:t xml:space="preserve"> of their Goals</w:t>
      </w:r>
      <w:r>
        <w:rPr>
          <w:rFonts w:ascii="Times New Roman" w:cs="Times New Roman" w:hAnsi="Times New Roman"/>
          <w:sz w:val="24"/>
          <w:szCs w:val="24"/>
        </w:rPr>
        <w:t>. In his distinction he writes, “There is truly a biblical theology, of historical origin, conveying what the holy writers felt about divine matters; on the other hand there is dogmatic theology of didactic origin, teaching what each theologian philosophizes rationally about divine things, according to the measure of his ability or of the times, age, place, sect, school and other similar factors.” So, Gabler was concerned about current conflicting biblical interpretations and attacked three types of interpretation: the orthodox, who interpreted the bible only from doctrinal categories; the Biblicist-pietists, who were content to repeat biblical formulae; and the rationalists, who imported their own convictions into biblical exegesis.</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       Again, a scholar like Wre</w:t>
      </w:r>
      <w:r>
        <w:rPr>
          <w:rFonts w:ascii="Times New Roman" w:cs="Times New Roman" w:hAnsi="Times New Roman"/>
          <w:sz w:val="24"/>
          <w:szCs w:val="24"/>
        </w:rPr>
        <w:t>de argues energetically that NT t</w:t>
      </w:r>
      <w:r>
        <w:rPr>
          <w:rFonts w:ascii="Times New Roman" w:cs="Times New Roman" w:hAnsi="Times New Roman"/>
          <w:sz w:val="24"/>
          <w:szCs w:val="24"/>
        </w:rPr>
        <w:t xml:space="preserve">heology as an enterprise is simply historical discipline intended to disclose only the religion of biblical authors. While another scholar, Schlatter, recognizes the demands and limitations of historical criticisms, in so doing stressing the normative quality of NT theology by arguing that history </w:t>
      </w:r>
      <w:r>
        <w:rPr>
          <w:rFonts w:ascii="Times New Roman" w:cs="Times New Roman" w:hAnsi="Times New Roman"/>
          <w:sz w:val="24"/>
          <w:szCs w:val="24"/>
        </w:rPr>
        <w:t>itself became</w:t>
      </w:r>
      <w:r>
        <w:rPr>
          <w:rFonts w:ascii="Times New Roman" w:cs="Times New Roman" w:hAnsi="Times New Roman"/>
          <w:sz w:val="24"/>
          <w:szCs w:val="24"/>
        </w:rPr>
        <w:t xml:space="preserve"> the medium of revelation and postulating an Christological center to the NT writings. But then, to the tension between purely historical description and normative interpretation, a number of other issues make NT theology a sometimes vague endeavor. </w:t>
      </w:r>
    </w:p>
    <w:p>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In the same way,</w:t>
      </w:r>
      <w:r>
        <w:rPr>
          <w:rFonts w:ascii="Times New Roman" w:cs="Times New Roman" w:hAnsi="Times New Roman"/>
          <w:sz w:val="24"/>
          <w:szCs w:val="24"/>
        </w:rPr>
        <w:t xml:space="preserve"> the complexity of issues surrounding NT theology and the lack of consensus on e</w:t>
      </w:r>
      <w:r>
        <w:rPr>
          <w:rFonts w:ascii="Times New Roman" w:cs="Times New Roman" w:hAnsi="Times New Roman"/>
          <w:sz w:val="24"/>
          <w:szCs w:val="24"/>
        </w:rPr>
        <w:t>ither its task or its method</w:t>
      </w:r>
      <w:r>
        <w:rPr>
          <w:rFonts w:ascii="Times New Roman" w:cs="Times New Roman" w:hAnsi="Times New Roman"/>
          <w:sz w:val="24"/>
          <w:szCs w:val="24"/>
        </w:rPr>
        <w:t xml:space="preserve"> has been called “the high point, as it were, to which the arduous mountain paths of New Testament exegesis lead, and the vantage point from which one can look back upon them.” There is no </w:t>
      </w:r>
      <w:r>
        <w:rPr>
          <w:rFonts w:ascii="Times New Roman" w:cs="Times New Roman" w:hAnsi="Times New Roman"/>
          <w:sz w:val="24"/>
          <w:szCs w:val="24"/>
        </w:rPr>
        <w:t>error</w:t>
      </w:r>
      <w:r>
        <w:rPr>
          <w:rFonts w:ascii="Times New Roman" w:cs="Times New Roman" w:hAnsi="Times New Roman"/>
          <w:sz w:val="24"/>
          <w:szCs w:val="24"/>
        </w:rPr>
        <w:t xml:space="preserve"> </w:t>
      </w:r>
      <w:r>
        <w:rPr>
          <w:rFonts w:ascii="Times New Roman" w:cs="Times New Roman" w:hAnsi="Times New Roman"/>
          <w:sz w:val="24"/>
          <w:szCs w:val="24"/>
        </w:rPr>
        <w:t xml:space="preserve">in </w:t>
      </w:r>
      <w:r>
        <w:rPr>
          <w:rFonts w:ascii="Times New Roman" w:cs="Times New Roman" w:hAnsi="Times New Roman"/>
          <w:sz w:val="24"/>
          <w:szCs w:val="24"/>
        </w:rPr>
        <w:t>saying that NT theology presents a number of paradoxes.</w:t>
      </w:r>
      <w:r>
        <w:rPr>
          <w:rFonts w:ascii="Times New Roman" w:cs="Times New Roman" w:hAnsi="Times New Roman"/>
          <w:sz w:val="24"/>
          <w:szCs w:val="24"/>
        </w:rPr>
        <w:t xml:space="preserve"> As a reasonable sequitur, </w:t>
      </w:r>
      <w:r>
        <w:rPr>
          <w:rFonts w:ascii="Times New Roman" w:cs="Times New Roman" w:hAnsi="Times New Roman"/>
          <w:sz w:val="24"/>
          <w:szCs w:val="24"/>
        </w:rPr>
        <w:t>it</w:t>
      </w:r>
      <w:r>
        <w:rPr>
          <w:rFonts w:ascii="Times New Roman" w:cs="Times New Roman" w:hAnsi="Times New Roman"/>
          <w:sz w:val="24"/>
          <w:szCs w:val="24"/>
        </w:rPr>
        <w:t xml:space="preserve"> deals </w:t>
      </w:r>
      <w:r>
        <w:rPr>
          <w:rFonts w:ascii="Times New Roman" w:cs="Times New Roman" w:hAnsi="Times New Roman"/>
          <w:sz w:val="24"/>
          <w:szCs w:val="24"/>
        </w:rPr>
        <w:t>with material from</w:t>
      </w:r>
      <w:r>
        <w:rPr>
          <w:rFonts w:ascii="Times New Roman" w:cs="Times New Roman" w:hAnsi="Times New Roman"/>
          <w:sz w:val="24"/>
          <w:szCs w:val="24"/>
        </w:rPr>
        <w:t xml:space="preserve"> the historical stand point and special concern for origins and development</w:t>
      </w:r>
      <w:r>
        <w:rPr>
          <w:rFonts w:ascii="Times New Roman" w:cs="Times New Roman" w:hAnsi="Times New Roman"/>
          <w:sz w:val="24"/>
          <w:szCs w:val="24"/>
        </w:rPr>
        <w:t>, seeking to cross barriers and to discover what the message meant to the original s</w:t>
      </w:r>
      <w:r>
        <w:rPr>
          <w:rFonts w:ascii="Times New Roman" w:cs="Times New Roman" w:hAnsi="Times New Roman"/>
          <w:sz w:val="24"/>
          <w:szCs w:val="24"/>
        </w:rPr>
        <w:t>peakers</w:t>
      </w:r>
      <w:r>
        <w:rPr>
          <w:rFonts w:ascii="Times New Roman" w:cs="Times New Roman" w:hAnsi="Times New Roman"/>
          <w:sz w:val="24"/>
          <w:szCs w:val="24"/>
        </w:rPr>
        <w:t>.</w:t>
      </w:r>
    </w:p>
    <w:p>
      <w:pPr>
        <w:pStyle w:val="style0"/>
        <w:spacing w:after="0" w:lineRule="auto" w:line="480"/>
        <w:jc w:val="center"/>
        <w:rPr>
          <w:rFonts w:ascii="Times New Roman" w:cs="Times New Roman" w:hAnsi="Times New Roman"/>
          <w:b/>
          <w:sz w:val="24"/>
          <w:szCs w:val="24"/>
        </w:rPr>
      </w:pPr>
      <w:r>
        <w:rPr>
          <w:rFonts w:ascii="Times New Roman" w:cs="Times New Roman" w:hAnsi="Times New Roman"/>
          <w:sz w:val="24"/>
          <w:szCs w:val="24"/>
        </w:rPr>
        <w:t xml:space="preserve">QUESTION 2: </w:t>
      </w:r>
      <w:r>
        <w:rPr>
          <w:rFonts w:ascii="Times New Roman" w:cs="Times New Roman" w:hAnsi="Times New Roman"/>
          <w:b/>
          <w:sz w:val="24"/>
          <w:szCs w:val="24"/>
        </w:rPr>
        <w:t>PNEUMATOLOGY IN THE LUKE</w:t>
      </w:r>
    </w:p>
    <w:p>
      <w:pPr>
        <w:pStyle w:val="style0"/>
        <w:spacing w:after="0" w:lineRule="auto" w:line="480"/>
        <w:jc w:val="center"/>
        <w:rPr>
          <w:rFonts w:ascii="Times New Roman" w:cs="Times New Roman" w:hAnsi="Times New Roman"/>
          <w:sz w:val="24"/>
          <w:szCs w:val="24"/>
          <w:u w:val="single"/>
        </w:rPr>
      </w:pPr>
      <w:r>
        <w:rPr>
          <w:rFonts w:ascii="Times New Roman" w:cs="Times New Roman" w:hAnsi="Times New Roman"/>
          <w:b/>
          <w:sz w:val="24"/>
          <w:szCs w:val="24"/>
          <w:u w:val="single"/>
        </w:rPr>
        <w:t>Attempt</w:t>
      </w:r>
    </w:p>
    <w:p>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 xml:space="preserve">In </w:t>
      </w:r>
      <w:r>
        <w:rPr>
          <w:rFonts w:ascii="Times New Roman" w:cs="Times New Roman" w:hAnsi="Times New Roman"/>
          <w:sz w:val="24"/>
          <w:szCs w:val="24"/>
        </w:rPr>
        <w:t>exploring P</w:t>
      </w:r>
      <w:r>
        <w:rPr>
          <w:rFonts w:ascii="Times New Roman" w:cs="Times New Roman" w:hAnsi="Times New Roman"/>
          <w:sz w:val="24"/>
          <w:szCs w:val="24"/>
        </w:rPr>
        <w:t>neumatology throughout the synoptics, one cannot go past Luke for providing the bulk of our material. Luke is more than worthy of the “theologian of the Holy Spirit</w:t>
      </w:r>
      <w:r>
        <w:rPr>
          <w:rFonts w:ascii="Times New Roman" w:cs="Times New Roman" w:hAnsi="Times New Roman"/>
          <w:sz w:val="24"/>
          <w:szCs w:val="24"/>
        </w:rPr>
        <w:t>.” There are sixteen direct mentions of the Holy Spirit in Luke’s Gospel, pl</w:t>
      </w:r>
      <w:r>
        <w:rPr>
          <w:rFonts w:ascii="Times New Roman" w:cs="Times New Roman" w:hAnsi="Times New Roman"/>
          <w:sz w:val="24"/>
          <w:szCs w:val="24"/>
        </w:rPr>
        <w:t>us a few other passages where the Holy Spirit</w:t>
      </w:r>
      <w:r>
        <w:rPr>
          <w:rFonts w:ascii="Times New Roman" w:cs="Times New Roman" w:hAnsi="Times New Roman"/>
          <w:sz w:val="24"/>
          <w:szCs w:val="24"/>
        </w:rPr>
        <w:t xml:space="preserve"> is mentioned in the figure of speech</w:t>
      </w:r>
      <w:r>
        <w:rPr>
          <w:rFonts w:ascii="Times New Roman" w:cs="Times New Roman" w:hAnsi="Times New Roman"/>
          <w:sz w:val="24"/>
          <w:szCs w:val="24"/>
        </w:rPr>
        <w:t>.</w:t>
      </w:r>
      <w:r>
        <w:rPr>
          <w:rFonts w:ascii="Times New Roman" w:cs="Times New Roman" w:hAnsi="Times New Roman"/>
          <w:sz w:val="24"/>
          <w:szCs w:val="24"/>
        </w:rPr>
        <w:t xml:space="preserve">   </w:t>
      </w:r>
    </w:p>
    <w:p>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In the Lucan gospel “the Holy Spirit” was well given necessary attention. The historical line of salvation is dominated by the interventions of the Spirit. The Spirit is granted to some figures of the Gospel of childhood (1,13-17.35.41.67; 2,25-28), but as soon as Jesus is baptized (3,22), he becomes the only bearer of the Spirit. From then on, all heavenly inspiration available is concentrated in him: motion of the Spirit, vision, ecstasy, angelic intervention.</w:t>
      </w:r>
    </w:p>
    <w:p>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 xml:space="preserve">       However, it is this power that he promises to give to his disciples after his death (Lk 24:49; Acts 1:8), which will be realized at Pentecost. From then on, the apostles, then the evangelists (Acts 8), then the believers of Samaria (Acts 8:15-17), then those who came from paganism (Acts 10:44-48) will receive the Holy Spirit as their share. But let us note that the reception of the Spirit is constantly linked to Jesus, to the reception of the Gospel, to the baptism in Jesus Christ.</w:t>
      </w:r>
      <w:r>
        <w:rPr>
          <w:rFonts w:ascii="Times New Roman" w:cs="Times New Roman" w:hAnsi="Times New Roman"/>
          <w:sz w:val="24"/>
          <w:szCs w:val="24"/>
        </w:rPr>
        <w:t xml:space="preserve"> The foregoing, </w:t>
      </w:r>
      <w:r>
        <w:rPr>
          <w:rFonts w:ascii="Times New Roman" w:cs="Times New Roman" w:hAnsi="Times New Roman"/>
          <w:sz w:val="24"/>
          <w:szCs w:val="24"/>
        </w:rPr>
        <w:t>confirms the strong place of Pn</w:t>
      </w:r>
      <w:r>
        <w:rPr>
          <w:rFonts w:ascii="Times New Roman" w:cs="Times New Roman" w:hAnsi="Times New Roman"/>
          <w:sz w:val="24"/>
          <w:szCs w:val="24"/>
        </w:rPr>
        <w:t>e</w:t>
      </w:r>
      <w:r>
        <w:rPr>
          <w:rFonts w:ascii="Times New Roman" w:cs="Times New Roman" w:hAnsi="Times New Roman"/>
          <w:sz w:val="24"/>
          <w:szCs w:val="24"/>
        </w:rPr>
        <w:t>u</w:t>
      </w:r>
      <w:r>
        <w:rPr>
          <w:rFonts w:ascii="Times New Roman" w:cs="Times New Roman" w:hAnsi="Times New Roman"/>
          <w:sz w:val="24"/>
          <w:szCs w:val="24"/>
        </w:rPr>
        <w:t>m</w:t>
      </w:r>
      <w:r>
        <w:rPr>
          <w:rFonts w:ascii="Times New Roman" w:cs="Times New Roman" w:hAnsi="Times New Roman"/>
          <w:sz w:val="24"/>
          <w:szCs w:val="24"/>
        </w:rPr>
        <w:t>a</w:t>
      </w:r>
      <w:r>
        <w:rPr>
          <w:rFonts w:ascii="Times New Roman" w:cs="Times New Roman" w:hAnsi="Times New Roman"/>
          <w:sz w:val="24"/>
          <w:szCs w:val="24"/>
        </w:rPr>
        <w:t>tology in the Luke’s gospel.</w:t>
      </w:r>
    </w:p>
    <w:p>
      <w:pPr>
        <w:pStyle w:val="style0"/>
        <w:spacing w:after="0" w:lineRule="auto" w:line="480"/>
        <w:jc w:val="both"/>
        <w:rPr>
          <w:rFonts w:ascii="Times New Roman" w:cs="Times New Roman" w:hAnsi="Times New Roman"/>
          <w:sz w:val="24"/>
          <w:szCs w:val="24"/>
        </w:rPr>
      </w:pPr>
    </w:p>
    <w:sectPr>
      <w:foot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EFF" w:usb1="C0007843"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xmlns:w14="http://schemas.microsoft.com/office/word/2010/wordml">
  <w:p>
    <w:pPr>
      <w:pStyle w:val="style32"/>
      <w:jc w:val="center"/>
      <w:rPr/>
    </w:pPr>
    <w:r>
      <w:rPr/>
      <w:fldChar w:fldCharType="begin"/>
    </w:r>
    <w:r>
      <w:instrText xml:space="preserve"> PAGE   \* MERGEFORMAT </w:instrText>
    </w:r>
    <w:r>
      <w:rPr/>
      <w:fldChar w:fldCharType="separate"/>
    </w:r>
    <w:r>
      <w:rPr>
        <w:noProof/>
      </w:rPr>
      <w:t>2</w:t>
    </w:r>
    <w:r>
      <w:rPr/>
      <w:fldChar w:fldCharType="end"/>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nforcement="0"/>
  <w:defaultTabStop w:val="720"/>
  <w:characterSpacingControl w:val="doNotCompress"/>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c6eb9185-492c-4195-93e1-64bbc8fd79b6"/>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a049b87d-1f0c-4e28-a106-3d698d2b18f0"/>
    <w:basedOn w:val="style65"/>
    <w:next w:val="style4098"/>
    <w:link w:val="style32"/>
    <w:uiPriority w:val="99"/>
  </w:style>
</w:styles>
</file>

<file path=word/_rels/document.xml.rels><?xml version="1.0" encoding="UTF-8"?>
<Relationships xmlns="http://schemas.openxmlformats.org/package/2006/relationships"><Relationship Id="rId2" Type="http://schemas.openxmlformats.org/officeDocument/2006/relationships/footer" Target="foot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825</Words>
  <Characters>4347</Characters>
  <Application>WPS Office</Application>
  <DocSecurity>0</DocSecurity>
  <Paragraphs>17</Paragraphs>
  <ScaleCrop>false</ScaleCrop>
  <LinksUpToDate>false</LinksUpToDate>
  <CharactersWithSpaces>5222</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2021-02-04T20:14:20Z</dcterms:created>
  <dc:creator>PETER</dc:creator>
  <lastModifiedBy>TECNO Camon CX</lastModifiedBy>
  <dcterms:modified xsi:type="dcterms:W3CDTF">2021-02-04T20:14:20Z</dcterms:modified>
  <revision>10</revision>
</coreProperties>
</file>

<file path=docProps/custom.xml><?xml version="1.0" encoding="utf-8"?>
<Properties xmlns="http://schemas.openxmlformats.org/officeDocument/2006/custom-properties" xmlns:vt="http://schemas.openxmlformats.org/officeDocument/2006/docPropsVTypes"/>
</file>