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AB8" w:rsidRPr="00C51E31" w:rsidRDefault="00C51E31" w:rsidP="00994E47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gramStart"/>
      <w:r w:rsidRPr="00C51E31">
        <w:rPr>
          <w:b/>
          <w:sz w:val="28"/>
          <w:szCs w:val="28"/>
        </w:rPr>
        <w:t>A Summary of</w:t>
      </w:r>
      <w:r w:rsidRPr="00C51E31">
        <w:rPr>
          <w:sz w:val="28"/>
          <w:szCs w:val="28"/>
        </w:rPr>
        <w:t xml:space="preserve"> </w:t>
      </w:r>
      <w:r w:rsidRPr="00C51E31">
        <w:rPr>
          <w:b/>
          <w:bCs/>
          <w:i/>
          <w:sz w:val="28"/>
          <w:szCs w:val="28"/>
        </w:rPr>
        <w:t>Unity and/or/in Diversity?</w:t>
      </w:r>
      <w:proofErr w:type="gramEnd"/>
      <w:r w:rsidRPr="00C51E31">
        <w:rPr>
          <w:b/>
          <w:bCs/>
          <w:i/>
          <w:sz w:val="28"/>
          <w:szCs w:val="28"/>
        </w:rPr>
        <w:t xml:space="preserve"> A Survey of Recent New Testament Theologies</w:t>
      </w:r>
      <w:r w:rsidRPr="00C51E31">
        <w:rPr>
          <w:b/>
          <w:bCs/>
          <w:sz w:val="28"/>
          <w:szCs w:val="28"/>
        </w:rPr>
        <w:t xml:space="preserve"> by </w:t>
      </w:r>
      <w:proofErr w:type="spellStart"/>
      <w:r w:rsidRPr="00C51E31">
        <w:rPr>
          <w:b/>
          <w:bCs/>
          <w:sz w:val="28"/>
          <w:szCs w:val="28"/>
        </w:rPr>
        <w:t>Wendel</w:t>
      </w:r>
      <w:proofErr w:type="spellEnd"/>
      <w:r w:rsidRPr="00C51E31">
        <w:rPr>
          <w:b/>
          <w:bCs/>
          <w:sz w:val="28"/>
          <w:szCs w:val="28"/>
        </w:rPr>
        <w:t xml:space="preserve"> Sun</w:t>
      </w:r>
    </w:p>
    <w:p w:rsidR="00C51E31" w:rsidRDefault="00C51E31" w:rsidP="006F4347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An Assignment on New Testament Theology</w:t>
      </w:r>
    </w:p>
    <w:p w:rsidR="00C51E31" w:rsidRDefault="00C51E31" w:rsidP="006F4347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By: Ogbulikpe Gerald Uzochukwu, DI/879</w:t>
      </w:r>
    </w:p>
    <w:p w:rsidR="00C51E31" w:rsidRDefault="00C51E31" w:rsidP="006F434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Lecturer: Rev. Fr. Gilbert </w:t>
      </w:r>
      <w:proofErr w:type="spellStart"/>
      <w:r>
        <w:rPr>
          <w:b/>
          <w:bCs/>
        </w:rPr>
        <w:t>Munana</w:t>
      </w:r>
      <w:proofErr w:type="spellEnd"/>
    </w:p>
    <w:p w:rsidR="002056AE" w:rsidRDefault="00C51E31" w:rsidP="00DE6F59">
      <w:pPr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The work </w:t>
      </w:r>
      <w:r w:rsidR="006F4347">
        <w:rPr>
          <w:bCs/>
        </w:rPr>
        <w:t xml:space="preserve">we are to summarize </w:t>
      </w:r>
      <w:r>
        <w:rPr>
          <w:bCs/>
        </w:rPr>
        <w:t xml:space="preserve">acknowledges that </w:t>
      </w:r>
      <w:r w:rsidR="006F4347">
        <w:rPr>
          <w:bCs/>
        </w:rPr>
        <w:t>the issue of Unity and Diversity of the New Testament has been central and a common feature of almost all recent contributions to New Testament Theologies.</w:t>
      </w:r>
      <w:r w:rsidR="00DE6F59">
        <w:rPr>
          <w:bCs/>
        </w:rPr>
        <w:t xml:space="preserve"> </w:t>
      </w:r>
      <w:r w:rsidR="006F4347">
        <w:rPr>
          <w:bCs/>
        </w:rPr>
        <w:t>However, w</w:t>
      </w:r>
      <w:r w:rsidR="006F4347" w:rsidRPr="006F4347">
        <w:rPr>
          <w:bCs/>
        </w:rPr>
        <w:t>hile the field of NTT continues to grow with the publication of</w:t>
      </w:r>
      <w:r w:rsidR="006F4347">
        <w:rPr>
          <w:bCs/>
        </w:rPr>
        <w:t xml:space="preserve"> </w:t>
      </w:r>
      <w:r w:rsidR="006F4347" w:rsidRPr="006F4347">
        <w:rPr>
          <w:bCs/>
        </w:rPr>
        <w:t xml:space="preserve">new titles, it has not been without critics. For example, </w:t>
      </w:r>
      <w:proofErr w:type="spellStart"/>
      <w:r w:rsidR="006F4347" w:rsidRPr="006F4347">
        <w:rPr>
          <w:bCs/>
        </w:rPr>
        <w:t>Heikki</w:t>
      </w:r>
      <w:proofErr w:type="spellEnd"/>
      <w:r w:rsidR="006F4347">
        <w:rPr>
          <w:bCs/>
        </w:rPr>
        <w:t xml:space="preserve"> </w:t>
      </w:r>
      <w:proofErr w:type="spellStart"/>
      <w:r w:rsidR="002056AE">
        <w:rPr>
          <w:bCs/>
        </w:rPr>
        <w:t>Räisänen</w:t>
      </w:r>
      <w:proofErr w:type="spellEnd"/>
      <w:r w:rsidR="002056AE">
        <w:rPr>
          <w:bCs/>
        </w:rPr>
        <w:t xml:space="preserve"> and Thomas </w:t>
      </w:r>
      <w:proofErr w:type="spellStart"/>
      <w:r w:rsidR="002056AE">
        <w:rPr>
          <w:bCs/>
        </w:rPr>
        <w:t>Hatina</w:t>
      </w:r>
      <w:proofErr w:type="spellEnd"/>
      <w:r w:rsidR="002056AE">
        <w:rPr>
          <w:bCs/>
        </w:rPr>
        <w:t xml:space="preserve"> have maintained that </w:t>
      </w:r>
      <w:r w:rsidR="002056AE" w:rsidRPr="002056AE">
        <w:rPr>
          <w:bCs/>
        </w:rPr>
        <w:t>unity and diversity</w:t>
      </w:r>
      <w:r w:rsidR="002056AE">
        <w:rPr>
          <w:bCs/>
        </w:rPr>
        <w:t xml:space="preserve"> </w:t>
      </w:r>
      <w:r w:rsidR="002056AE" w:rsidRPr="002056AE">
        <w:rPr>
          <w:bCs/>
        </w:rPr>
        <w:t>is a non-issue, since a unified NTT is neither desirable nor even</w:t>
      </w:r>
      <w:r w:rsidR="002056AE">
        <w:rPr>
          <w:bCs/>
        </w:rPr>
        <w:t xml:space="preserve"> </w:t>
      </w:r>
      <w:r w:rsidR="002056AE" w:rsidRPr="002056AE">
        <w:rPr>
          <w:bCs/>
        </w:rPr>
        <w:t xml:space="preserve">possible. </w:t>
      </w:r>
      <w:proofErr w:type="spellStart"/>
      <w:r w:rsidR="002056AE" w:rsidRPr="002056AE">
        <w:rPr>
          <w:bCs/>
        </w:rPr>
        <w:t>Räisänen</w:t>
      </w:r>
      <w:proofErr w:type="spellEnd"/>
      <w:r w:rsidR="002056AE" w:rsidRPr="002056AE">
        <w:rPr>
          <w:bCs/>
        </w:rPr>
        <w:t xml:space="preserve"> believes that scholars should avoid all theological</w:t>
      </w:r>
      <w:r w:rsidR="002056AE">
        <w:rPr>
          <w:bCs/>
        </w:rPr>
        <w:t xml:space="preserve"> </w:t>
      </w:r>
      <w:r w:rsidR="002056AE" w:rsidRPr="002056AE">
        <w:rPr>
          <w:bCs/>
        </w:rPr>
        <w:t xml:space="preserve">construction, instead opting for historical investigation. </w:t>
      </w:r>
      <w:proofErr w:type="spellStart"/>
      <w:r w:rsidR="002056AE" w:rsidRPr="002056AE">
        <w:rPr>
          <w:bCs/>
        </w:rPr>
        <w:t>Hatina</w:t>
      </w:r>
      <w:proofErr w:type="spellEnd"/>
      <w:r w:rsidR="002056AE">
        <w:rPr>
          <w:bCs/>
        </w:rPr>
        <w:t xml:space="preserve"> </w:t>
      </w:r>
      <w:r w:rsidR="002056AE" w:rsidRPr="002056AE">
        <w:rPr>
          <w:bCs/>
        </w:rPr>
        <w:t>encourages theological reflection, but only in dialogue with wider</w:t>
      </w:r>
      <w:r w:rsidR="00C72A77">
        <w:rPr>
          <w:bCs/>
        </w:rPr>
        <w:t xml:space="preserve"> </w:t>
      </w:r>
      <w:r w:rsidR="002056AE" w:rsidRPr="002056AE">
        <w:rPr>
          <w:bCs/>
        </w:rPr>
        <w:t>studies of religion and culture for the purpose of contemporary</w:t>
      </w:r>
      <w:r w:rsidR="002056AE">
        <w:rPr>
          <w:bCs/>
        </w:rPr>
        <w:t xml:space="preserve"> </w:t>
      </w:r>
      <w:r w:rsidR="002056AE" w:rsidRPr="002056AE">
        <w:rPr>
          <w:bCs/>
        </w:rPr>
        <w:t>relevance.</w:t>
      </w:r>
      <w:r w:rsidR="00C72A77">
        <w:rPr>
          <w:bCs/>
        </w:rPr>
        <w:t xml:space="preserve"> Nevertheless, many scholars do not agree </w:t>
      </w:r>
      <w:r w:rsidR="00C72A77" w:rsidRPr="00C72A77">
        <w:rPr>
          <w:bCs/>
        </w:rPr>
        <w:t xml:space="preserve">with them </w:t>
      </w:r>
      <w:r w:rsidR="00C72A77">
        <w:rPr>
          <w:bCs/>
        </w:rPr>
        <w:t xml:space="preserve">concerning the </w:t>
      </w:r>
      <w:r w:rsidR="00C72A77" w:rsidRPr="00C72A77">
        <w:rPr>
          <w:bCs/>
        </w:rPr>
        <w:t>alleged demise of NTT.</w:t>
      </w:r>
    </w:p>
    <w:p w:rsidR="006F4347" w:rsidRPr="00C72A77" w:rsidRDefault="00C72A77" w:rsidP="00994E47">
      <w:pPr>
        <w:spacing w:after="0" w:line="360" w:lineRule="auto"/>
        <w:jc w:val="both"/>
        <w:rPr>
          <w:b/>
          <w:bCs/>
          <w:i/>
          <w:iCs/>
        </w:rPr>
      </w:pPr>
      <w:r w:rsidRPr="00C72A77">
        <w:rPr>
          <w:b/>
          <w:bCs/>
        </w:rPr>
        <w:t xml:space="preserve">I. Howard Marshall, </w:t>
      </w:r>
      <w:r w:rsidRPr="00C72A77">
        <w:rPr>
          <w:b/>
          <w:bCs/>
          <w:i/>
          <w:iCs/>
        </w:rPr>
        <w:t>New Testament</w:t>
      </w:r>
      <w:r>
        <w:rPr>
          <w:b/>
          <w:bCs/>
          <w:i/>
          <w:iCs/>
        </w:rPr>
        <w:t xml:space="preserve"> </w:t>
      </w:r>
      <w:r w:rsidRPr="00C72A77">
        <w:rPr>
          <w:b/>
          <w:bCs/>
          <w:i/>
          <w:iCs/>
        </w:rPr>
        <w:t>Theology: Many Witnesses, One Gospel</w:t>
      </w:r>
    </w:p>
    <w:p w:rsidR="0052297C" w:rsidRDefault="00C72A77" w:rsidP="00DE6F59">
      <w:pPr>
        <w:spacing w:after="0" w:line="360" w:lineRule="auto"/>
        <w:ind w:firstLine="90"/>
        <w:jc w:val="both"/>
        <w:rPr>
          <w:bCs/>
        </w:rPr>
      </w:pPr>
      <w:r w:rsidRPr="00C72A77">
        <w:rPr>
          <w:bCs/>
        </w:rPr>
        <w:t>Marshall’s monumental work focuses on exposition of the theology</w:t>
      </w:r>
      <w:r w:rsidR="0052297C">
        <w:rPr>
          <w:bCs/>
        </w:rPr>
        <w:t xml:space="preserve"> </w:t>
      </w:r>
      <w:r w:rsidRPr="00C72A77">
        <w:rPr>
          <w:bCs/>
        </w:rPr>
        <w:t>of each book of the N</w:t>
      </w:r>
      <w:r w:rsidR="0052297C">
        <w:rPr>
          <w:bCs/>
        </w:rPr>
        <w:t xml:space="preserve">ew </w:t>
      </w:r>
      <w:r w:rsidRPr="00C72A77">
        <w:rPr>
          <w:bCs/>
        </w:rPr>
        <w:t>T</w:t>
      </w:r>
      <w:r w:rsidR="0052297C">
        <w:rPr>
          <w:bCs/>
        </w:rPr>
        <w:t>estament</w:t>
      </w:r>
      <w:r w:rsidRPr="00C72A77">
        <w:rPr>
          <w:bCs/>
        </w:rPr>
        <w:t>.</w:t>
      </w:r>
      <w:r w:rsidR="0052297C">
        <w:rPr>
          <w:bCs/>
        </w:rPr>
        <w:t xml:space="preserve"> </w:t>
      </w:r>
      <w:r w:rsidR="0052297C" w:rsidRPr="0052297C">
        <w:rPr>
          <w:bCs/>
        </w:rPr>
        <w:t>He addresses</w:t>
      </w:r>
      <w:r w:rsidR="0052297C">
        <w:rPr>
          <w:bCs/>
        </w:rPr>
        <w:t xml:space="preserve"> </w:t>
      </w:r>
      <w:r w:rsidR="0052297C" w:rsidRPr="0052297C">
        <w:rPr>
          <w:bCs/>
        </w:rPr>
        <w:t>four primary issues:</w:t>
      </w:r>
    </w:p>
    <w:p w:rsidR="0052297C" w:rsidRPr="00B946B9" w:rsidRDefault="00B946B9" w:rsidP="00DE6F5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bCs/>
        </w:rPr>
      </w:pPr>
      <w:r>
        <w:rPr>
          <w:bCs/>
        </w:rPr>
        <w:t>T</w:t>
      </w:r>
      <w:r w:rsidR="0052297C" w:rsidRPr="0052297C">
        <w:rPr>
          <w:bCs/>
        </w:rPr>
        <w:t>he place of the NT in its canonical context</w:t>
      </w:r>
      <w:r>
        <w:rPr>
          <w:bCs/>
        </w:rPr>
        <w:t xml:space="preserve"> (2) </w:t>
      </w:r>
      <w:proofErr w:type="gramStart"/>
      <w:r>
        <w:rPr>
          <w:bCs/>
        </w:rPr>
        <w:t>T</w:t>
      </w:r>
      <w:r w:rsidR="0052297C" w:rsidRPr="00B946B9">
        <w:rPr>
          <w:bCs/>
        </w:rPr>
        <w:t>he</w:t>
      </w:r>
      <w:proofErr w:type="gramEnd"/>
      <w:r w:rsidR="0052297C" w:rsidRPr="00B946B9">
        <w:rPr>
          <w:bCs/>
        </w:rPr>
        <w:t xml:space="preserve"> place of NTT in the early church’s missionary context</w:t>
      </w:r>
      <w:r>
        <w:rPr>
          <w:bCs/>
        </w:rPr>
        <w:t xml:space="preserve"> (3) </w:t>
      </w:r>
      <w:r>
        <w:rPr>
          <w:rFonts w:ascii="Bodoni-Regular" w:hAnsi="Bodoni-Regular" w:cs="Bodoni-Regular"/>
          <w:szCs w:val="24"/>
        </w:rPr>
        <w:t>T</w:t>
      </w:r>
      <w:r w:rsidR="0052297C" w:rsidRPr="00B946B9">
        <w:rPr>
          <w:rFonts w:ascii="Bodoni-Regular" w:hAnsi="Bodoni-Regular" w:cs="Bodoni-Regular"/>
          <w:szCs w:val="24"/>
        </w:rPr>
        <w:t xml:space="preserve">he distinctive theology of each </w:t>
      </w:r>
      <w:r w:rsidR="0052297C" w:rsidRPr="00B946B9">
        <w:rPr>
          <w:rFonts w:ascii="Bodoni-Regular" w:hAnsi="Bodoni-Regular" w:cs="Bodoni-Regular"/>
          <w:sz w:val="22"/>
        </w:rPr>
        <w:t xml:space="preserve">NT </w:t>
      </w:r>
      <w:r w:rsidR="0052297C" w:rsidRPr="00B946B9">
        <w:rPr>
          <w:rFonts w:ascii="Bodoni-Regular" w:hAnsi="Bodoni-Regular" w:cs="Bodoni-Regular"/>
          <w:szCs w:val="24"/>
        </w:rPr>
        <w:t>book</w:t>
      </w:r>
      <w:r>
        <w:rPr>
          <w:rFonts w:ascii="Bodoni-Regular" w:hAnsi="Bodoni-Regular" w:cs="Bodoni-Regular"/>
          <w:szCs w:val="24"/>
        </w:rPr>
        <w:t xml:space="preserve"> (4) T</w:t>
      </w:r>
      <w:r w:rsidR="0052297C" w:rsidRPr="00B946B9">
        <w:rPr>
          <w:rFonts w:ascii="Bodoni-Regular" w:hAnsi="Bodoni-Regular" w:cs="Bodoni-Regular"/>
          <w:szCs w:val="24"/>
        </w:rPr>
        <w:t xml:space="preserve">he theological unity of the </w:t>
      </w:r>
      <w:r w:rsidR="0052297C" w:rsidRPr="00B946B9">
        <w:rPr>
          <w:rFonts w:ascii="Bodoni-Regular" w:hAnsi="Bodoni-Regular" w:cs="Bodoni-Regular"/>
          <w:sz w:val="22"/>
        </w:rPr>
        <w:t xml:space="preserve">NT </w:t>
      </w:r>
      <w:r w:rsidR="0052297C" w:rsidRPr="00B946B9">
        <w:rPr>
          <w:rFonts w:ascii="Bodoni-Regular" w:hAnsi="Bodoni-Regular" w:cs="Bodoni-Regular"/>
          <w:szCs w:val="24"/>
        </w:rPr>
        <w:t>as a whole.</w:t>
      </w:r>
    </w:p>
    <w:p w:rsidR="0052297C" w:rsidRDefault="0052297C" w:rsidP="00DE6F59">
      <w:pPr>
        <w:autoSpaceDE w:val="0"/>
        <w:autoSpaceDN w:val="0"/>
        <w:adjustRightInd w:val="0"/>
        <w:spacing w:line="360" w:lineRule="auto"/>
        <w:ind w:firstLine="90"/>
        <w:jc w:val="both"/>
        <w:rPr>
          <w:rFonts w:ascii="Bodoni-Regular" w:hAnsi="Bodoni-Regular" w:cs="Bodoni-Regular"/>
          <w:szCs w:val="24"/>
        </w:rPr>
      </w:pPr>
      <w:r w:rsidRPr="0052297C">
        <w:rPr>
          <w:rFonts w:ascii="Bodoni-Regular" w:hAnsi="Bodoni-Regular" w:cs="Bodoni-Regular"/>
          <w:szCs w:val="24"/>
        </w:rPr>
        <w:t>Marshall argues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 xml:space="preserve">that all the </w:t>
      </w:r>
      <w:r w:rsidRPr="0052297C">
        <w:rPr>
          <w:rFonts w:ascii="Bodoni-Regular" w:hAnsi="Bodoni-Regular" w:cs="Bodoni-Regular"/>
          <w:sz w:val="22"/>
        </w:rPr>
        <w:t xml:space="preserve">NT </w:t>
      </w:r>
      <w:r w:rsidRPr="0052297C">
        <w:rPr>
          <w:rFonts w:ascii="Bodoni-Regular" w:hAnsi="Bodoni-Regular" w:cs="Bodoni-Regular"/>
          <w:szCs w:val="24"/>
        </w:rPr>
        <w:t>writers shared a common faith and a common</w:t>
      </w:r>
      <w:r>
        <w:rPr>
          <w:rFonts w:ascii="Bodoni-Regular" w:hAnsi="Bodoni-Regular" w:cs="Bodoni-Regular"/>
          <w:szCs w:val="24"/>
        </w:rPr>
        <w:t xml:space="preserve"> purpose - </w:t>
      </w:r>
      <w:r w:rsidRPr="0052297C">
        <w:rPr>
          <w:rFonts w:ascii="Bodoni-Regular" w:hAnsi="Bodoni-Regular" w:cs="Bodoni-Regular"/>
          <w:szCs w:val="24"/>
        </w:rPr>
        <w:t>the belief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>that the Messiah had come for the whole world.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>For him, the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>various strands of NTT are tied together by the concept of mission.</w:t>
      </w:r>
      <w:r w:rsidR="00B946B9">
        <w:rPr>
          <w:rFonts w:ascii="Bodoni-Regular" w:hAnsi="Bodoni-Regular" w:cs="Bodoni-Regular"/>
          <w:szCs w:val="24"/>
        </w:rPr>
        <w:t xml:space="preserve"> </w:t>
      </w:r>
      <w:r>
        <w:rPr>
          <w:rFonts w:ascii="Bodoni-Regular" w:hAnsi="Bodoni-Regular" w:cs="Bodoni-Regular"/>
          <w:szCs w:val="24"/>
        </w:rPr>
        <w:t xml:space="preserve">Marshall </w:t>
      </w:r>
      <w:r w:rsidRPr="0052297C">
        <w:rPr>
          <w:rFonts w:ascii="Bodoni-Regular" w:hAnsi="Bodoni-Regular" w:cs="Bodoni-Regular"/>
          <w:szCs w:val="24"/>
        </w:rPr>
        <w:t>begins with diversity and moves toward unity; his basic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>approach is to summarize the unique theological themes of each NT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 xml:space="preserve">document and only </w:t>
      </w:r>
      <w:r>
        <w:rPr>
          <w:rFonts w:ascii="Bodoni-Regular" w:hAnsi="Bodoni-Regular" w:cs="Bodoni-Regular"/>
          <w:szCs w:val="24"/>
        </w:rPr>
        <w:t xml:space="preserve">then to show the basic lines of </w:t>
      </w:r>
      <w:r w:rsidRPr="0052297C">
        <w:rPr>
          <w:rFonts w:ascii="Bodoni-Regular" w:hAnsi="Bodoni-Regular" w:cs="Bodoni-Regular"/>
          <w:szCs w:val="24"/>
        </w:rPr>
        <w:t>theological unity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>that span the canon, pushing beyond the writings themselves to the</w:t>
      </w:r>
      <w:r>
        <w:rPr>
          <w:rFonts w:ascii="Bodoni-Regular" w:hAnsi="Bodoni-Regular" w:cs="Bodoni-Regular"/>
          <w:szCs w:val="24"/>
        </w:rPr>
        <w:t xml:space="preserve"> </w:t>
      </w:r>
      <w:r w:rsidRPr="0052297C">
        <w:rPr>
          <w:rFonts w:ascii="Bodoni-Regular" w:hAnsi="Bodoni-Regular" w:cs="Bodoni-Regular"/>
          <w:szCs w:val="24"/>
        </w:rPr>
        <w:t>“underlying history and experience” of the writers.</w:t>
      </w:r>
    </w:p>
    <w:p w:rsidR="0052297C" w:rsidRDefault="0052297C" w:rsidP="00994E47">
      <w:pPr>
        <w:autoSpaceDE w:val="0"/>
        <w:autoSpaceDN w:val="0"/>
        <w:adjustRightInd w:val="0"/>
        <w:spacing w:after="0" w:line="360" w:lineRule="auto"/>
        <w:jc w:val="both"/>
        <w:rPr>
          <w:rFonts w:ascii="Bodoni-Regular" w:hAnsi="Bodoni-Regular" w:cs="Bodoni-Regular"/>
          <w:b/>
          <w:bCs/>
          <w:i/>
          <w:iCs/>
          <w:szCs w:val="24"/>
        </w:rPr>
      </w:pPr>
      <w:r>
        <w:rPr>
          <w:rFonts w:ascii="Bodoni-Regular" w:hAnsi="Bodoni-Regular" w:cs="Bodoni-Regular"/>
          <w:b/>
          <w:bCs/>
          <w:szCs w:val="24"/>
        </w:rPr>
        <w:t xml:space="preserve">Frank </w:t>
      </w:r>
      <w:proofErr w:type="spellStart"/>
      <w:r>
        <w:rPr>
          <w:rFonts w:ascii="Bodoni-Regular" w:hAnsi="Bodoni-Regular" w:cs="Bodoni-Regular"/>
          <w:b/>
          <w:bCs/>
          <w:szCs w:val="24"/>
        </w:rPr>
        <w:t>Thielman</w:t>
      </w:r>
      <w:proofErr w:type="spellEnd"/>
      <w:r>
        <w:rPr>
          <w:rFonts w:ascii="Bodoni-Regular" w:hAnsi="Bodoni-Regular" w:cs="Bodoni-Regular"/>
          <w:b/>
          <w:bCs/>
          <w:szCs w:val="24"/>
        </w:rPr>
        <w:t>:</w:t>
      </w:r>
      <w:r w:rsidRPr="0052297C">
        <w:rPr>
          <w:rFonts w:ascii="Bodoni-Regular" w:hAnsi="Bodoni-Regular" w:cs="Bodoni-Regular"/>
          <w:b/>
          <w:bCs/>
          <w:szCs w:val="24"/>
        </w:rPr>
        <w:t xml:space="preserve"> </w:t>
      </w:r>
      <w:r w:rsidRPr="0052297C">
        <w:rPr>
          <w:rFonts w:ascii="Bodoni-Regular" w:hAnsi="Bodoni-Regular" w:cs="Bodoni-Regular"/>
          <w:b/>
          <w:bCs/>
          <w:i/>
          <w:iCs/>
          <w:szCs w:val="24"/>
        </w:rPr>
        <w:t>Theology of the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52297C">
        <w:rPr>
          <w:rFonts w:ascii="Bodoni-Regular" w:hAnsi="Bodoni-Regular" w:cs="Bodoni-Regular"/>
          <w:b/>
          <w:bCs/>
          <w:i/>
          <w:iCs/>
          <w:szCs w:val="24"/>
        </w:rPr>
        <w:t>New Testament: A Canonical and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52297C">
        <w:rPr>
          <w:rFonts w:ascii="Bodoni-Regular" w:hAnsi="Bodoni-Regular" w:cs="Bodoni-Regular"/>
          <w:b/>
          <w:bCs/>
          <w:i/>
          <w:iCs/>
          <w:szCs w:val="24"/>
        </w:rPr>
        <w:t>Synthetic Approach</w:t>
      </w:r>
    </w:p>
    <w:p w:rsidR="0052297C" w:rsidRPr="0052297C" w:rsidRDefault="0052297C" w:rsidP="00DE6F59">
      <w:pPr>
        <w:autoSpaceDE w:val="0"/>
        <w:autoSpaceDN w:val="0"/>
        <w:adjustRightInd w:val="0"/>
        <w:spacing w:after="0" w:line="360" w:lineRule="auto"/>
        <w:ind w:firstLine="90"/>
        <w:jc w:val="both"/>
        <w:rPr>
          <w:rFonts w:ascii="Bodoni-Regular" w:hAnsi="Bodoni-Regular" w:cs="Bodoni-Regular"/>
          <w:bCs/>
          <w:iCs/>
          <w:szCs w:val="24"/>
        </w:rPr>
      </w:pPr>
      <w:proofErr w:type="spellStart"/>
      <w:r>
        <w:rPr>
          <w:rFonts w:ascii="Bodoni-Regular" w:hAnsi="Bodoni-Regular" w:cs="Bodoni-Regular"/>
          <w:bCs/>
          <w:iCs/>
          <w:szCs w:val="24"/>
        </w:rPr>
        <w:t>Thielman</w:t>
      </w:r>
      <w:proofErr w:type="spellEnd"/>
      <w:r>
        <w:rPr>
          <w:rFonts w:ascii="Bodoni-Regular" w:hAnsi="Bodoni-Regular" w:cs="Bodoni-Regular"/>
          <w:bCs/>
          <w:iCs/>
          <w:szCs w:val="24"/>
        </w:rPr>
        <w:t xml:space="preserve"> emphasizes </w:t>
      </w:r>
      <w:r w:rsidRPr="0052297C">
        <w:rPr>
          <w:rFonts w:ascii="Bodoni-Regular" w:hAnsi="Bodoni-Regular" w:cs="Bodoni-Regular"/>
          <w:bCs/>
          <w:iCs/>
          <w:szCs w:val="24"/>
        </w:rPr>
        <w:t>the theological unity of the entire NT. He identifies these themes as</w:t>
      </w:r>
      <w:r>
        <w:rPr>
          <w:rFonts w:ascii="Bodoni-Regular" w:hAnsi="Bodoni-Regular" w:cs="Bodoni-Regular"/>
          <w:bCs/>
          <w:iCs/>
          <w:szCs w:val="24"/>
        </w:rPr>
        <w:t>:</w:t>
      </w:r>
    </w:p>
    <w:p w:rsidR="0052297C" w:rsidRPr="00B946B9" w:rsidRDefault="00B946B9" w:rsidP="00B946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Bodoni-Regular" w:hAnsi="Bodoni-Regular" w:cs="Bodoni-Regular"/>
          <w:bCs/>
          <w:iCs/>
          <w:szCs w:val="24"/>
        </w:rPr>
      </w:pPr>
      <w:r w:rsidRPr="0052297C">
        <w:rPr>
          <w:rFonts w:ascii="Bodoni-Regular" w:hAnsi="Bodoni-Regular" w:cs="Bodoni-Regular"/>
          <w:bCs/>
          <w:iCs/>
          <w:szCs w:val="24"/>
        </w:rPr>
        <w:t>The</w:t>
      </w:r>
      <w:r w:rsidR="0052297C" w:rsidRPr="0052297C">
        <w:rPr>
          <w:rFonts w:ascii="Bodoni-Regular" w:hAnsi="Bodoni-Regular" w:cs="Bodoni-Regular"/>
          <w:bCs/>
          <w:iCs/>
          <w:szCs w:val="24"/>
        </w:rPr>
        <w:t xml:space="preserve"> significance of </w:t>
      </w:r>
      <w:r>
        <w:rPr>
          <w:rFonts w:ascii="Bodoni-Regular" w:hAnsi="Bodoni-Regular" w:cs="Bodoni-Regular"/>
          <w:bCs/>
          <w:iCs/>
          <w:szCs w:val="24"/>
        </w:rPr>
        <w:t xml:space="preserve">Jesus (2) </w:t>
      </w:r>
      <w:r w:rsidRPr="00B946B9">
        <w:rPr>
          <w:rFonts w:ascii="Bodoni-Regular" w:hAnsi="Bodoni-Regular" w:cs="Bodoni-Regular"/>
          <w:bCs/>
          <w:iCs/>
          <w:szCs w:val="24"/>
        </w:rPr>
        <w:t>Faith</w:t>
      </w:r>
      <w:r w:rsidR="0052297C" w:rsidRPr="00B946B9">
        <w:rPr>
          <w:rFonts w:ascii="Bodoni-Regular" w:hAnsi="Bodoni-Regular" w:cs="Bodoni-Regular"/>
          <w:bCs/>
          <w:iCs/>
          <w:szCs w:val="24"/>
        </w:rPr>
        <w:t xml:space="preserve"> as a response to </w:t>
      </w:r>
      <w:r>
        <w:rPr>
          <w:rFonts w:ascii="Bodoni-Regular" w:hAnsi="Bodoni-Regular" w:cs="Bodoni-Regular"/>
          <w:bCs/>
          <w:iCs/>
          <w:szCs w:val="24"/>
        </w:rPr>
        <w:t xml:space="preserve">Jesus (3) </w:t>
      </w:r>
      <w:proofErr w:type="gramStart"/>
      <w:r w:rsidRPr="00B946B9">
        <w:rPr>
          <w:rFonts w:ascii="Bodoni-Regular" w:hAnsi="Bodoni-Regular" w:cs="Bodoni-Regular"/>
          <w:bCs/>
          <w:iCs/>
          <w:szCs w:val="24"/>
        </w:rPr>
        <w:t>The</w:t>
      </w:r>
      <w:proofErr w:type="gramEnd"/>
      <w:r w:rsidR="0052297C" w:rsidRPr="00B946B9">
        <w:rPr>
          <w:rFonts w:ascii="Bodoni-Regular" w:hAnsi="Bodoni-Regular" w:cs="Bodoni-Regular"/>
          <w:bCs/>
          <w:iCs/>
          <w:szCs w:val="24"/>
        </w:rPr>
        <w:t xml:space="preserve"> outpouring of God’s Spirit</w:t>
      </w:r>
      <w:r>
        <w:rPr>
          <w:rFonts w:ascii="Bodoni-Regular" w:hAnsi="Bodoni-Regular" w:cs="Bodoni-Regular"/>
          <w:bCs/>
          <w:iCs/>
          <w:szCs w:val="24"/>
        </w:rPr>
        <w:t xml:space="preserve"> (4) </w:t>
      </w:r>
      <w:r w:rsidRPr="00B946B9">
        <w:rPr>
          <w:rFonts w:ascii="Bodoni-Regular" w:hAnsi="Bodoni-Regular" w:cs="Bodoni-Regular"/>
          <w:bCs/>
          <w:iCs/>
          <w:szCs w:val="24"/>
        </w:rPr>
        <w:t>The</w:t>
      </w:r>
      <w:r w:rsidR="0052297C" w:rsidRPr="00B946B9">
        <w:rPr>
          <w:rFonts w:ascii="Bodoni-Regular" w:hAnsi="Bodoni-Regular" w:cs="Bodoni-Regular"/>
          <w:bCs/>
          <w:iCs/>
          <w:szCs w:val="24"/>
        </w:rPr>
        <w:t xml:space="preserve"> church as the people of God</w:t>
      </w:r>
      <w:r>
        <w:rPr>
          <w:rFonts w:ascii="Bodoni-Regular" w:hAnsi="Bodoni-Regular" w:cs="Bodoni-Regular"/>
          <w:bCs/>
          <w:iCs/>
          <w:szCs w:val="24"/>
        </w:rPr>
        <w:t xml:space="preserve"> (5) </w:t>
      </w:r>
      <w:r w:rsidRPr="00B946B9">
        <w:rPr>
          <w:rFonts w:ascii="Bodoni-Regular" w:hAnsi="Bodoni-Regular" w:cs="Bodoni-Regular"/>
          <w:bCs/>
          <w:iCs/>
          <w:szCs w:val="24"/>
        </w:rPr>
        <w:t>The</w:t>
      </w:r>
      <w:r w:rsidR="0052297C" w:rsidRPr="00B946B9">
        <w:rPr>
          <w:rFonts w:ascii="Bodoni-Regular" w:hAnsi="Bodoni-Regular" w:cs="Bodoni-Regular"/>
          <w:bCs/>
          <w:iCs/>
          <w:szCs w:val="24"/>
        </w:rPr>
        <w:t xml:space="preserve"> consummation of all things.</w:t>
      </w:r>
    </w:p>
    <w:p w:rsidR="0052297C" w:rsidRDefault="00CB59FD" w:rsidP="00CB59FD">
      <w:pPr>
        <w:autoSpaceDE w:val="0"/>
        <w:autoSpaceDN w:val="0"/>
        <w:adjustRightInd w:val="0"/>
        <w:spacing w:line="360" w:lineRule="auto"/>
        <w:jc w:val="both"/>
        <w:rPr>
          <w:rFonts w:ascii="Bodoni-Regular" w:hAnsi="Bodoni-Regular" w:cs="Bodoni-Regular"/>
          <w:bCs/>
          <w:iCs/>
          <w:szCs w:val="24"/>
        </w:rPr>
      </w:pPr>
      <w:proofErr w:type="spellStart"/>
      <w:r w:rsidRPr="00CB59FD">
        <w:rPr>
          <w:rFonts w:ascii="Bodoni-Regular" w:hAnsi="Bodoni-Regular" w:cs="Bodoni-Regular"/>
          <w:bCs/>
          <w:iCs/>
          <w:szCs w:val="24"/>
        </w:rPr>
        <w:lastRenderedPageBreak/>
        <w:t>Thielman’s</w:t>
      </w:r>
      <w:proofErr w:type="spellEnd"/>
      <w:r w:rsidRPr="00CB59FD">
        <w:rPr>
          <w:rFonts w:ascii="Bodoni-Regular" w:hAnsi="Bodoni-Regular" w:cs="Bodoni-Regular"/>
          <w:bCs/>
          <w:iCs/>
          <w:szCs w:val="24"/>
        </w:rPr>
        <w:t xml:space="preserve"> primary concern is to allow each book of the NT to speak for itself, thereby highlighting its unique theological contributions. </w:t>
      </w:r>
      <w:r w:rsidR="00994E47">
        <w:rPr>
          <w:rFonts w:ascii="Bodoni-Regular" w:hAnsi="Bodoni-Regular" w:cs="Bodoni-Regular"/>
          <w:bCs/>
          <w:iCs/>
          <w:szCs w:val="24"/>
        </w:rPr>
        <w:t>However,</w:t>
      </w:r>
      <w:r w:rsidRPr="00CB59FD">
        <w:rPr>
          <w:rFonts w:ascii="Bodoni-Regular" w:hAnsi="Bodoni-Regular" w:cs="Bodoni-Regular"/>
          <w:bCs/>
          <w:iCs/>
          <w:szCs w:val="24"/>
        </w:rPr>
        <w:t xml:space="preserve"> his method differs from Marshall’s</w:t>
      </w:r>
      <w:r w:rsidR="00994E47">
        <w:rPr>
          <w:rFonts w:ascii="Bodoni-Regular" w:hAnsi="Bodoni-Regular" w:cs="Bodoni-Regular"/>
          <w:bCs/>
          <w:iCs/>
          <w:szCs w:val="24"/>
        </w:rPr>
        <w:t xml:space="preserve"> method</w:t>
      </w:r>
      <w:r w:rsidRPr="00CB59FD">
        <w:rPr>
          <w:rFonts w:ascii="Bodoni-Regular" w:hAnsi="Bodoni-Regular" w:cs="Bodoni-Regular"/>
          <w:bCs/>
          <w:iCs/>
          <w:szCs w:val="24"/>
        </w:rPr>
        <w:t xml:space="preserve"> in that he gives more attention to historical background</w:t>
      </w:r>
      <w:r w:rsidR="00994E47">
        <w:rPr>
          <w:rFonts w:ascii="Bodoni-Regular" w:hAnsi="Bodoni-Regular" w:cs="Bodoni-Regular"/>
          <w:bCs/>
          <w:iCs/>
          <w:szCs w:val="24"/>
        </w:rPr>
        <w:t>.</w:t>
      </w:r>
    </w:p>
    <w:p w:rsidR="00994E47" w:rsidRDefault="00994E47" w:rsidP="00994E47">
      <w:pPr>
        <w:autoSpaceDE w:val="0"/>
        <w:autoSpaceDN w:val="0"/>
        <w:adjustRightInd w:val="0"/>
        <w:spacing w:after="0" w:line="360" w:lineRule="auto"/>
        <w:jc w:val="both"/>
        <w:rPr>
          <w:rFonts w:ascii="Bodoni-Regular" w:hAnsi="Bodoni-Regular" w:cs="Bodoni-Regular"/>
          <w:b/>
          <w:bCs/>
          <w:i/>
          <w:iCs/>
          <w:szCs w:val="24"/>
        </w:rPr>
      </w:pPr>
      <w:r>
        <w:rPr>
          <w:rFonts w:ascii="Bodoni-Regular" w:hAnsi="Bodoni-Regular" w:cs="Bodoni-Regular"/>
          <w:b/>
          <w:bCs/>
          <w:iCs/>
          <w:szCs w:val="24"/>
        </w:rPr>
        <w:t>Frank J. Matera:</w:t>
      </w:r>
      <w:r w:rsidRPr="00994E47">
        <w:rPr>
          <w:rFonts w:ascii="Bodoni-Regular" w:hAnsi="Bodoni-Regular" w:cs="Bodoni-Regular"/>
          <w:b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/>
          <w:bCs/>
          <w:i/>
          <w:iCs/>
          <w:szCs w:val="24"/>
        </w:rPr>
        <w:t>New Testament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/>
          <w:bCs/>
          <w:i/>
          <w:iCs/>
          <w:szCs w:val="24"/>
        </w:rPr>
        <w:t>Theology: Exploring Diversity and Unity</w:t>
      </w:r>
    </w:p>
    <w:p w:rsidR="00994E47" w:rsidRDefault="00994E47" w:rsidP="00DE6F5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doni-Regular" w:hAnsi="Bodoni-Regular" w:cs="Bodoni-Regular"/>
          <w:bCs/>
          <w:iCs/>
          <w:szCs w:val="24"/>
        </w:rPr>
      </w:pPr>
      <w:r w:rsidRPr="00994E47">
        <w:rPr>
          <w:rFonts w:ascii="Bodoni-Regular" w:hAnsi="Bodoni-Regular" w:cs="Bodoni-Regular"/>
          <w:bCs/>
          <w:iCs/>
          <w:szCs w:val="24"/>
        </w:rPr>
        <w:t xml:space="preserve">Like Marshall and </w:t>
      </w:r>
      <w:proofErr w:type="spellStart"/>
      <w:r w:rsidRPr="00994E47">
        <w:rPr>
          <w:rFonts w:ascii="Bodoni-Regular" w:hAnsi="Bodoni-Regular" w:cs="Bodoni-Regular"/>
          <w:bCs/>
          <w:iCs/>
          <w:szCs w:val="24"/>
        </w:rPr>
        <w:t>Thielman</w:t>
      </w:r>
      <w:proofErr w:type="spellEnd"/>
      <w:r w:rsidRPr="00994E47">
        <w:rPr>
          <w:rFonts w:ascii="Bodoni-Regular" w:hAnsi="Bodoni-Regular" w:cs="Bodoni-Regular"/>
          <w:bCs/>
          <w:iCs/>
          <w:szCs w:val="24"/>
        </w:rPr>
        <w:t>, Matera seeks to do justice to the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diverse contributions of the various NT texts while showing that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within this diversity there is a core of theological unity.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The diversity within the NT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theologies “</w:t>
      </w:r>
      <w:proofErr w:type="gramStart"/>
      <w:r w:rsidRPr="00994E47">
        <w:rPr>
          <w:rFonts w:ascii="Bodoni-Regular" w:hAnsi="Bodoni-Regular" w:cs="Bodoni-Regular"/>
          <w:bCs/>
          <w:iCs/>
          <w:szCs w:val="24"/>
        </w:rPr>
        <w:t>are</w:t>
      </w:r>
      <w:proofErr w:type="gramEnd"/>
      <w:r w:rsidRPr="00994E47">
        <w:rPr>
          <w:rFonts w:ascii="Bodoni-Regular" w:hAnsi="Bodoni-Regular" w:cs="Bodoni-Regular"/>
          <w:bCs/>
          <w:iCs/>
          <w:szCs w:val="24"/>
        </w:rPr>
        <w:t xml:space="preserve"> the result of the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diverse circumstances and situations that occasioned its writings.”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Nevertheless, there exists an underlying unity in the NT authors’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description of “the experience of salvation that God has wrought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Cs/>
          <w:iCs/>
          <w:szCs w:val="24"/>
        </w:rPr>
        <w:t>in Christ.</w:t>
      </w:r>
    </w:p>
    <w:p w:rsidR="00994E47" w:rsidRDefault="00994E47" w:rsidP="00214578">
      <w:pPr>
        <w:autoSpaceDE w:val="0"/>
        <w:autoSpaceDN w:val="0"/>
        <w:adjustRightInd w:val="0"/>
        <w:spacing w:after="0" w:line="360" w:lineRule="auto"/>
        <w:jc w:val="both"/>
        <w:rPr>
          <w:rFonts w:ascii="Bodoni-Regular" w:hAnsi="Bodoni-Regular" w:cs="Bodoni-Regular"/>
          <w:b/>
          <w:bCs/>
          <w:i/>
          <w:iCs/>
          <w:szCs w:val="24"/>
        </w:rPr>
      </w:pPr>
      <w:r>
        <w:rPr>
          <w:rFonts w:ascii="Bodoni-Regular" w:hAnsi="Bodoni-Regular" w:cs="Bodoni-Regular"/>
          <w:b/>
          <w:bCs/>
          <w:iCs/>
          <w:szCs w:val="24"/>
        </w:rPr>
        <w:t>Thomas R. Schreiner:</w:t>
      </w:r>
      <w:r w:rsidRPr="00994E47">
        <w:rPr>
          <w:rFonts w:ascii="Bodoni-Regular" w:hAnsi="Bodoni-Regular" w:cs="Bodoni-Regular"/>
          <w:b/>
          <w:bCs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/>
          <w:bCs/>
          <w:i/>
          <w:iCs/>
          <w:szCs w:val="24"/>
        </w:rPr>
        <w:t>New Testament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994E47">
        <w:rPr>
          <w:rFonts w:ascii="Bodoni-Regular" w:hAnsi="Bodoni-Regular" w:cs="Bodoni-Regular"/>
          <w:b/>
          <w:bCs/>
          <w:i/>
          <w:iCs/>
          <w:szCs w:val="24"/>
        </w:rPr>
        <w:t xml:space="preserve">Theology: Magnifying God in </w:t>
      </w:r>
      <w:r>
        <w:rPr>
          <w:rFonts w:ascii="Bodoni-Regular" w:hAnsi="Bodoni-Regular" w:cs="Bodoni-Regular"/>
          <w:b/>
          <w:bCs/>
          <w:i/>
          <w:iCs/>
          <w:szCs w:val="24"/>
        </w:rPr>
        <w:t>Christ</w:t>
      </w:r>
    </w:p>
    <w:p w:rsidR="00994E47" w:rsidRDefault="00214578" w:rsidP="00DE6F5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doni-Regular" w:hAnsi="Bodoni-Regular" w:cs="Bodoni-Regular"/>
          <w:bCs/>
          <w:iCs/>
          <w:szCs w:val="24"/>
        </w:rPr>
      </w:pPr>
      <w:r w:rsidRPr="00214578">
        <w:rPr>
          <w:rFonts w:ascii="Bodoni-Regular" w:hAnsi="Bodoni-Regular" w:cs="Bodoni-Regular"/>
          <w:bCs/>
          <w:iCs/>
          <w:szCs w:val="24"/>
        </w:rPr>
        <w:t>Unlike the scholars whose works have already been surveyed,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>Schreiner opts for a thematic approach, arguing that this will aid in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>understanding both the overall unity of the NT and the individual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>contributions of its authors.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 xml:space="preserve">Schreiner argues that “NT theology is God-focused, </w:t>
      </w:r>
      <w:r>
        <w:rPr>
          <w:rFonts w:ascii="Bodoni-Regular" w:hAnsi="Bodoni-Regular" w:cs="Bodoni-Regular"/>
          <w:bCs/>
          <w:iCs/>
          <w:szCs w:val="24"/>
        </w:rPr>
        <w:t xml:space="preserve">Christ </w:t>
      </w:r>
      <w:r w:rsidRPr="00214578">
        <w:rPr>
          <w:rFonts w:ascii="Bodoni-Regular" w:hAnsi="Bodoni-Regular" w:cs="Bodoni-Regular"/>
          <w:bCs/>
          <w:iCs/>
          <w:szCs w:val="24"/>
        </w:rPr>
        <w:t>centered,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>and Spirit-saturated, but the work of the Father, Son, and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>Spirit must be understood along a salvation-historical timeline; that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214578">
        <w:rPr>
          <w:rFonts w:ascii="Bodoni-Regular" w:hAnsi="Bodoni-Regular" w:cs="Bodoni-Regular"/>
          <w:bCs/>
          <w:iCs/>
          <w:szCs w:val="24"/>
        </w:rPr>
        <w:t>is, God’s promises are already fulfilled but not yet consummated in</w:t>
      </w:r>
      <w:r>
        <w:rPr>
          <w:rFonts w:ascii="Bodoni-Regular" w:hAnsi="Bodoni-Regular" w:cs="Bodoni-Regular"/>
          <w:bCs/>
          <w:iCs/>
          <w:szCs w:val="24"/>
        </w:rPr>
        <w:t xml:space="preserve"> Christ Jesus.</w:t>
      </w:r>
    </w:p>
    <w:p w:rsidR="00B946B9" w:rsidRDefault="00B946B9" w:rsidP="00B946B9">
      <w:pPr>
        <w:autoSpaceDE w:val="0"/>
        <w:autoSpaceDN w:val="0"/>
        <w:adjustRightInd w:val="0"/>
        <w:spacing w:after="0" w:line="360" w:lineRule="auto"/>
        <w:jc w:val="both"/>
        <w:rPr>
          <w:rFonts w:ascii="Bodoni-Regular" w:hAnsi="Bodoni-Regular" w:cs="Bodoni-Regular"/>
          <w:b/>
          <w:bCs/>
          <w:i/>
          <w:iCs/>
          <w:szCs w:val="24"/>
        </w:rPr>
      </w:pPr>
      <w:proofErr w:type="spellStart"/>
      <w:r w:rsidRPr="00B946B9">
        <w:rPr>
          <w:rFonts w:ascii="Bodoni-Regular" w:hAnsi="Bodoni-Regular" w:cs="Bodoni-Regular"/>
          <w:b/>
          <w:bCs/>
          <w:iCs/>
          <w:szCs w:val="24"/>
        </w:rPr>
        <w:t>Udo</w:t>
      </w:r>
      <w:proofErr w:type="spellEnd"/>
      <w:r w:rsidRPr="00B946B9">
        <w:rPr>
          <w:rFonts w:ascii="Bodoni-Regular" w:hAnsi="Bodoni-Regular" w:cs="Bodoni-Regular"/>
          <w:b/>
          <w:bCs/>
          <w:iCs/>
          <w:szCs w:val="24"/>
        </w:rPr>
        <w:t xml:space="preserve"> </w:t>
      </w:r>
      <w:proofErr w:type="spellStart"/>
      <w:r w:rsidRPr="00B946B9">
        <w:rPr>
          <w:rFonts w:ascii="Bodoni-Regular" w:hAnsi="Bodoni-Regular" w:cs="Bodoni-Regular"/>
          <w:b/>
          <w:bCs/>
          <w:iCs/>
          <w:szCs w:val="24"/>
        </w:rPr>
        <w:t>Schnelle</w:t>
      </w:r>
      <w:proofErr w:type="spellEnd"/>
      <w:r>
        <w:rPr>
          <w:rFonts w:ascii="Bodoni-Regular" w:hAnsi="Bodoni-Regular" w:cs="Bodoni-Regular"/>
          <w:b/>
          <w:bCs/>
          <w:iCs/>
          <w:szCs w:val="24"/>
        </w:rPr>
        <w:t xml:space="preserve">: </w:t>
      </w:r>
      <w:r w:rsidRPr="00B946B9">
        <w:rPr>
          <w:rFonts w:ascii="Bodoni-Regular" w:hAnsi="Bodoni-Regular" w:cs="Bodoni-Regular"/>
          <w:b/>
          <w:bCs/>
          <w:i/>
          <w:iCs/>
          <w:szCs w:val="24"/>
        </w:rPr>
        <w:t>Theology of the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/>
          <w:bCs/>
          <w:i/>
          <w:iCs/>
          <w:szCs w:val="24"/>
        </w:rPr>
        <w:t>New Testament</w:t>
      </w:r>
    </w:p>
    <w:p w:rsidR="00B946B9" w:rsidRDefault="00B946B9" w:rsidP="00DE6F5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doni-Regular" w:hAnsi="Bodoni-Regular" w:cs="Bodoni-Regular"/>
          <w:bCs/>
          <w:iCs/>
          <w:szCs w:val="24"/>
        </w:rPr>
      </w:pPr>
      <w:r>
        <w:rPr>
          <w:rFonts w:ascii="Bodoni-Regular" w:hAnsi="Bodoni-Regular" w:cs="Bodoni-Regular"/>
          <w:bCs/>
          <w:iCs/>
          <w:szCs w:val="24"/>
        </w:rPr>
        <w:t xml:space="preserve">For </w:t>
      </w:r>
      <w:proofErr w:type="spellStart"/>
      <w:r>
        <w:rPr>
          <w:rFonts w:ascii="Bodoni-Regular" w:hAnsi="Bodoni-Regular" w:cs="Bodoni-Regular"/>
          <w:bCs/>
          <w:iCs/>
          <w:szCs w:val="24"/>
        </w:rPr>
        <w:t>Schnelle</w:t>
      </w:r>
      <w:proofErr w:type="spellEnd"/>
      <w:r>
        <w:rPr>
          <w:rFonts w:ascii="Bodoni-Regular" w:hAnsi="Bodoni-Regular" w:cs="Bodoni-Regular"/>
          <w:bCs/>
          <w:iCs/>
          <w:szCs w:val="24"/>
        </w:rPr>
        <w:t>, t</w:t>
      </w:r>
      <w:r w:rsidRPr="00B946B9">
        <w:rPr>
          <w:rFonts w:ascii="Bodoni-Regular" w:hAnsi="Bodoni-Regular" w:cs="Bodoni-Regular"/>
          <w:bCs/>
          <w:iCs/>
          <w:szCs w:val="24"/>
        </w:rPr>
        <w:t>he task of a theology of the New Testament is to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 xml:space="preserve">apprehend the NT </w:t>
      </w:r>
      <w:r>
        <w:rPr>
          <w:rFonts w:ascii="Bodoni-Regular" w:hAnsi="Bodoni-Regular" w:cs="Bodoni-Regular"/>
          <w:bCs/>
          <w:iCs/>
          <w:szCs w:val="24"/>
        </w:rPr>
        <w:t>authors’</w:t>
      </w:r>
      <w:r w:rsidRPr="00B946B9">
        <w:rPr>
          <w:rFonts w:ascii="Bodoni-Regular" w:hAnsi="Bodoni-Regular" w:cs="Bodoni-Regular"/>
          <w:bCs/>
          <w:iCs/>
          <w:szCs w:val="24"/>
        </w:rPr>
        <w:t xml:space="preserve"> achievements of meaning-formation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and to present them in their theological, literary, and history-of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religion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dimensions. The aim is to facilitate authentic reception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of the New Testament’s me</w:t>
      </w:r>
      <w:r>
        <w:rPr>
          <w:rFonts w:ascii="Bodoni-Regular" w:hAnsi="Bodoni-Regular" w:cs="Bodoni-Regular"/>
          <w:bCs/>
          <w:iCs/>
          <w:szCs w:val="24"/>
        </w:rPr>
        <w:t xml:space="preserve">aning-formation in the present. </w:t>
      </w:r>
      <w:r w:rsidRPr="00B946B9">
        <w:rPr>
          <w:rFonts w:ascii="Bodoni-Regular" w:hAnsi="Bodoni-Regular" w:cs="Bodoni-Regular"/>
          <w:bCs/>
          <w:iCs/>
          <w:szCs w:val="24"/>
        </w:rPr>
        <w:t>By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“meaning-formation” he means “establishing or maintaining a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valid orientation to the world and to life.”</w:t>
      </w:r>
    </w:p>
    <w:p w:rsidR="00B946B9" w:rsidRDefault="00B946B9" w:rsidP="00B946B9">
      <w:pPr>
        <w:autoSpaceDE w:val="0"/>
        <w:autoSpaceDN w:val="0"/>
        <w:adjustRightInd w:val="0"/>
        <w:spacing w:after="0" w:line="360" w:lineRule="auto"/>
        <w:jc w:val="both"/>
        <w:rPr>
          <w:rFonts w:ascii="Bodoni-Regular" w:hAnsi="Bodoni-Regular" w:cs="Bodoni-Regular"/>
          <w:b/>
          <w:bCs/>
          <w:i/>
          <w:iCs/>
          <w:szCs w:val="24"/>
        </w:rPr>
      </w:pPr>
      <w:r>
        <w:rPr>
          <w:rFonts w:ascii="Bodoni-Regular" w:hAnsi="Bodoni-Regular" w:cs="Bodoni-Regular"/>
          <w:b/>
          <w:bCs/>
          <w:i/>
          <w:iCs/>
          <w:szCs w:val="24"/>
        </w:rPr>
        <w:t>G. K. Beale:</w:t>
      </w:r>
      <w:r w:rsidRPr="00B946B9">
        <w:rPr>
          <w:rFonts w:ascii="Bodoni-Regular" w:hAnsi="Bodoni-Regular" w:cs="Bodoni-Regular"/>
          <w:b/>
          <w:bCs/>
          <w:i/>
          <w:iCs/>
          <w:szCs w:val="24"/>
        </w:rPr>
        <w:t xml:space="preserve"> A New Testament Biblical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/>
          <w:bCs/>
          <w:i/>
          <w:iCs/>
          <w:szCs w:val="24"/>
        </w:rPr>
        <w:t>Theology: The Unfolding of the Old</w:t>
      </w:r>
      <w:r>
        <w:rPr>
          <w:rFonts w:ascii="Bodoni-Regular" w:hAnsi="Bodoni-Regular" w:cs="Bodoni-Regular"/>
          <w:b/>
          <w:bCs/>
          <w:i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/>
          <w:bCs/>
          <w:i/>
          <w:iCs/>
          <w:szCs w:val="24"/>
        </w:rPr>
        <w:t>Testament in the New</w:t>
      </w:r>
    </w:p>
    <w:p w:rsidR="00B946B9" w:rsidRPr="00B946B9" w:rsidRDefault="00B946B9" w:rsidP="00DE6F5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Bodoni-Regular" w:hAnsi="Bodoni-Regular" w:cs="Bodoni-Regular"/>
          <w:bCs/>
          <w:iCs/>
          <w:szCs w:val="24"/>
        </w:rPr>
      </w:pPr>
      <w:r w:rsidRPr="00B946B9">
        <w:rPr>
          <w:rFonts w:ascii="Bodoni-Regular" w:hAnsi="Bodoni-Regular" w:cs="Bodoni-Regular"/>
          <w:bCs/>
          <w:iCs/>
          <w:szCs w:val="24"/>
        </w:rPr>
        <w:t>Building on the work of scholars such as Hans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proofErr w:type="spellStart"/>
      <w:r w:rsidRPr="00B946B9">
        <w:rPr>
          <w:rFonts w:ascii="Bodoni-Regular" w:hAnsi="Bodoni-Regular" w:cs="Bodoni-Regular"/>
          <w:bCs/>
          <w:iCs/>
          <w:szCs w:val="24"/>
        </w:rPr>
        <w:t>Hübner</w:t>
      </w:r>
      <w:proofErr w:type="spellEnd"/>
      <w:r w:rsidRPr="00B946B9">
        <w:rPr>
          <w:rFonts w:ascii="Bodoni-Regular" w:hAnsi="Bodoni-Regular" w:cs="Bodoni-Regular"/>
          <w:bCs/>
          <w:iCs/>
          <w:szCs w:val="24"/>
        </w:rPr>
        <w:t xml:space="preserve"> and Peter </w:t>
      </w:r>
      <w:proofErr w:type="spellStart"/>
      <w:r w:rsidRPr="00B946B9">
        <w:rPr>
          <w:rFonts w:ascii="Bodoni-Regular" w:hAnsi="Bodoni-Regular" w:cs="Bodoni-Regular"/>
          <w:bCs/>
          <w:iCs/>
          <w:szCs w:val="24"/>
        </w:rPr>
        <w:t>Stuhlmacher</w:t>
      </w:r>
      <w:proofErr w:type="spellEnd"/>
      <w:r w:rsidRPr="00B946B9">
        <w:rPr>
          <w:rFonts w:ascii="Bodoni-Regular" w:hAnsi="Bodoni-Regular" w:cs="Bodoni-Regular"/>
          <w:bCs/>
          <w:iCs/>
          <w:szCs w:val="24"/>
        </w:rPr>
        <w:t xml:space="preserve">, </w:t>
      </w:r>
      <w:r>
        <w:rPr>
          <w:rFonts w:ascii="Bodoni-Regular" w:hAnsi="Bodoni-Regular" w:cs="Bodoni-Regular"/>
          <w:bCs/>
          <w:iCs/>
          <w:szCs w:val="24"/>
        </w:rPr>
        <w:t>Beale</w:t>
      </w:r>
      <w:r w:rsidRPr="00B946B9">
        <w:rPr>
          <w:rFonts w:ascii="Bodoni-Regular" w:hAnsi="Bodoni-Regular" w:cs="Bodoni-Regular"/>
          <w:bCs/>
          <w:iCs/>
          <w:szCs w:val="24"/>
        </w:rPr>
        <w:t xml:space="preserve"> presents the theology of the NT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in relation to the OT so as to produce a work that, while primarily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focusing on the NT, is essentially a whole-Bible biblical theology. He</w:t>
      </w:r>
      <w:r>
        <w:rPr>
          <w:rFonts w:ascii="Bodoni-Regular" w:hAnsi="Bodoni-Regular" w:cs="Bodoni-Regular"/>
          <w:bCs/>
          <w:iCs/>
          <w:szCs w:val="24"/>
        </w:rPr>
        <w:t xml:space="preserve"> emphasizes that </w:t>
      </w:r>
      <w:r w:rsidRPr="00B946B9">
        <w:rPr>
          <w:rFonts w:ascii="Bodoni-Regular" w:hAnsi="Bodoni-Regular" w:cs="Bodoni-Regular"/>
          <w:bCs/>
          <w:iCs/>
          <w:szCs w:val="24"/>
        </w:rPr>
        <w:t>one of the main goals of this book is to demonstrate</w:t>
      </w:r>
      <w:r>
        <w:rPr>
          <w:rFonts w:ascii="Bodoni-Regular" w:hAnsi="Bodoni-Regular" w:cs="Bodoni-Regular"/>
          <w:bCs/>
          <w:iCs/>
          <w:szCs w:val="24"/>
        </w:rPr>
        <w:t xml:space="preserve"> </w:t>
      </w:r>
      <w:r w:rsidRPr="00B946B9">
        <w:rPr>
          <w:rFonts w:ascii="Bodoni-Regular" w:hAnsi="Bodoni-Regular" w:cs="Bodoni-Regular"/>
          <w:bCs/>
          <w:iCs/>
          <w:szCs w:val="24"/>
        </w:rPr>
        <w:t>further the OT background for the theology of the NT</w:t>
      </w:r>
      <w:r>
        <w:rPr>
          <w:rFonts w:ascii="Bodoni-Regular" w:hAnsi="Bodoni-Regular" w:cs="Bodoni-Regular"/>
          <w:bCs/>
          <w:iCs/>
          <w:szCs w:val="24"/>
        </w:rPr>
        <w:t>.</w:t>
      </w:r>
    </w:p>
    <w:sectPr w:rsidR="00B946B9" w:rsidRPr="00B946B9" w:rsidSect="00DE6F5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6F08"/>
    <w:multiLevelType w:val="hybridMultilevel"/>
    <w:tmpl w:val="03762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A0E60"/>
    <w:multiLevelType w:val="hybridMultilevel"/>
    <w:tmpl w:val="037621D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7EAD07B6"/>
    <w:multiLevelType w:val="hybridMultilevel"/>
    <w:tmpl w:val="F8846FC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1E31"/>
    <w:rsid w:val="000025BB"/>
    <w:rsid w:val="002056AE"/>
    <w:rsid w:val="00214578"/>
    <w:rsid w:val="00430AB8"/>
    <w:rsid w:val="00440E8A"/>
    <w:rsid w:val="0052297C"/>
    <w:rsid w:val="006F4347"/>
    <w:rsid w:val="00994E47"/>
    <w:rsid w:val="009B49BA"/>
    <w:rsid w:val="00AB5800"/>
    <w:rsid w:val="00B946B9"/>
    <w:rsid w:val="00C51D94"/>
    <w:rsid w:val="00C51E31"/>
    <w:rsid w:val="00C72A77"/>
    <w:rsid w:val="00CB59FD"/>
    <w:rsid w:val="00CE0342"/>
    <w:rsid w:val="00CE51AD"/>
    <w:rsid w:val="00DE6F59"/>
    <w:rsid w:val="00EC3445"/>
    <w:rsid w:val="00F9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A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</dc:creator>
  <cp:lastModifiedBy>GERALD</cp:lastModifiedBy>
  <cp:revision>5</cp:revision>
  <dcterms:created xsi:type="dcterms:W3CDTF">2020-11-25T15:26:00Z</dcterms:created>
  <dcterms:modified xsi:type="dcterms:W3CDTF">2020-11-25T19:09:00Z</dcterms:modified>
</cp:coreProperties>
</file>