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EFF" w:rsidRPr="001B1844" w:rsidRDefault="00EE6EFF" w:rsidP="00EE6EFF">
      <w:pPr>
        <w:tabs>
          <w:tab w:val="left" w:pos="5220"/>
        </w:tabs>
        <w:rPr>
          <w:rFonts w:asciiTheme="majorBidi" w:hAnsiTheme="majorBidi" w:cstheme="majorBidi"/>
          <w:b/>
          <w:bCs/>
          <w:sz w:val="24"/>
          <w:szCs w:val="24"/>
        </w:rPr>
      </w:pPr>
      <w:r w:rsidRPr="001B1844">
        <w:rPr>
          <w:rFonts w:asciiTheme="majorBidi" w:hAnsiTheme="majorBidi" w:cstheme="majorBidi"/>
          <w:b/>
          <w:bCs/>
          <w:sz w:val="24"/>
          <w:szCs w:val="24"/>
        </w:rPr>
        <w:t>The Three Bodies of Law that made up Canonical System</w:t>
      </w:r>
    </w:p>
    <w:p w:rsidR="00EE6EFF" w:rsidRDefault="00B740F5"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Divine Law</w:t>
      </w:r>
      <w:r w:rsidR="00EE6EFF">
        <w:rPr>
          <w:rFonts w:asciiTheme="majorBidi" w:hAnsiTheme="majorBidi" w:cstheme="majorBidi"/>
          <w:sz w:val="24"/>
          <w:szCs w:val="24"/>
        </w:rPr>
        <w:t xml:space="preserve"> (refers to the irreformable truth of faith both moral and dogmatic).</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Divine Positive law (rooted in revelation, expressed in scripture or tradition).</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Divine Natural Law (based on the order of creation and can be known by human reason).</w:t>
      </w:r>
    </w:p>
    <w:p w:rsidR="00EE6EFF" w:rsidRPr="005F31E1" w:rsidRDefault="00EE6EFF" w:rsidP="00EE6EFF">
      <w:pPr>
        <w:pStyle w:val="ListParagraph"/>
        <w:tabs>
          <w:tab w:val="left" w:pos="5220"/>
        </w:tabs>
        <w:rPr>
          <w:rFonts w:asciiTheme="majorBidi" w:hAnsiTheme="majorBidi" w:cstheme="majorBidi"/>
          <w:b/>
          <w:sz w:val="24"/>
          <w:szCs w:val="24"/>
        </w:rPr>
      </w:pPr>
    </w:p>
    <w:p w:rsidR="00EE6EFF" w:rsidRPr="005F31E1" w:rsidRDefault="00EE6EFF" w:rsidP="00EE6EFF">
      <w:pPr>
        <w:pStyle w:val="ListParagraph"/>
        <w:numPr>
          <w:ilvl w:val="0"/>
          <w:numId w:val="2"/>
        </w:numPr>
        <w:tabs>
          <w:tab w:val="left" w:pos="5220"/>
        </w:tabs>
        <w:rPr>
          <w:rFonts w:asciiTheme="majorBidi" w:hAnsiTheme="majorBidi" w:cstheme="majorBidi"/>
          <w:b/>
          <w:sz w:val="24"/>
          <w:szCs w:val="24"/>
        </w:rPr>
      </w:pPr>
      <w:r w:rsidRPr="005F31E1">
        <w:rPr>
          <w:rFonts w:asciiTheme="majorBidi" w:hAnsiTheme="majorBidi" w:cstheme="majorBidi"/>
          <w:b/>
          <w:sz w:val="24"/>
          <w:szCs w:val="24"/>
        </w:rPr>
        <w:t>WHAT IS ECCLESIASTICAL LAW?</w:t>
      </w:r>
    </w:p>
    <w:p w:rsidR="00EE6EFF" w:rsidRPr="00CC4DD3"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Law of the Catholic Church that binds only Catholic (Can. 11).</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 xml:space="preserve">In the broad sense, canon </w:t>
      </w:r>
      <w:bookmarkStart w:id="0" w:name="_GoBack"/>
      <w:bookmarkEnd w:id="0"/>
      <w:r w:rsidR="00E574D5">
        <w:rPr>
          <w:rFonts w:asciiTheme="majorBidi" w:hAnsiTheme="majorBidi" w:cstheme="majorBidi"/>
          <w:sz w:val="24"/>
          <w:szCs w:val="24"/>
        </w:rPr>
        <w:t>law embraces</w:t>
      </w:r>
      <w:r>
        <w:rPr>
          <w:rFonts w:asciiTheme="majorBidi" w:hAnsiTheme="majorBidi" w:cstheme="majorBidi"/>
          <w:sz w:val="24"/>
          <w:szCs w:val="24"/>
        </w:rPr>
        <w:t xml:space="preserve"> also custom and the general norms of the executive power.</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“A law is a binding norm duly promulgated by a competent legislator for the common good of a community capable of receiving a law.” Only a legislator, one who possesses legislative power can make a law.</w:t>
      </w:r>
    </w:p>
    <w:p w:rsidR="00EE6EFF" w:rsidRDefault="00EE6EFF" w:rsidP="00EE6EFF">
      <w:pPr>
        <w:pStyle w:val="ListParagraph"/>
        <w:tabs>
          <w:tab w:val="left" w:pos="5220"/>
        </w:tabs>
        <w:ind w:left="1080"/>
        <w:rPr>
          <w:rFonts w:asciiTheme="majorBidi" w:hAnsiTheme="majorBidi" w:cstheme="majorBidi"/>
          <w:b/>
          <w:sz w:val="24"/>
          <w:szCs w:val="24"/>
        </w:rPr>
      </w:pPr>
    </w:p>
    <w:p w:rsidR="00EE6EFF" w:rsidRDefault="00EE6EFF" w:rsidP="00EE6EFF">
      <w:pPr>
        <w:pStyle w:val="ListParagraph"/>
        <w:tabs>
          <w:tab w:val="left" w:pos="5220"/>
        </w:tabs>
        <w:ind w:left="1080"/>
        <w:rPr>
          <w:rFonts w:asciiTheme="majorBidi" w:hAnsiTheme="majorBidi" w:cstheme="majorBidi"/>
          <w:b/>
          <w:sz w:val="24"/>
          <w:szCs w:val="24"/>
        </w:rPr>
      </w:pPr>
      <w:r>
        <w:rPr>
          <w:rFonts w:asciiTheme="majorBidi" w:hAnsiTheme="majorBidi" w:cstheme="majorBidi"/>
          <w:b/>
          <w:sz w:val="24"/>
          <w:szCs w:val="24"/>
        </w:rPr>
        <w:t xml:space="preserve">St. Thomas Aquinas defined law </w:t>
      </w:r>
      <w:r w:rsidR="000240A2">
        <w:rPr>
          <w:rFonts w:asciiTheme="majorBidi" w:hAnsiTheme="majorBidi" w:cstheme="majorBidi"/>
          <w:b/>
          <w:sz w:val="24"/>
          <w:szCs w:val="24"/>
        </w:rPr>
        <w:t xml:space="preserve">as an ordinance of reason: </w:t>
      </w:r>
      <w:r w:rsidR="000240A2" w:rsidRPr="0021782A">
        <w:rPr>
          <w:rFonts w:asciiTheme="majorBidi" w:hAnsiTheme="majorBidi" w:cstheme="majorBidi"/>
          <w:b/>
          <w:i/>
          <w:iCs/>
          <w:sz w:val="24"/>
          <w:szCs w:val="24"/>
        </w:rPr>
        <w:t>ordinat</w:t>
      </w:r>
      <w:r w:rsidR="001672E5" w:rsidRPr="0021782A">
        <w:rPr>
          <w:rFonts w:asciiTheme="majorBidi" w:hAnsiTheme="majorBidi" w:cstheme="majorBidi"/>
          <w:b/>
          <w:i/>
          <w:iCs/>
          <w:sz w:val="24"/>
          <w:szCs w:val="24"/>
        </w:rPr>
        <w:t>io</w:t>
      </w:r>
      <w:r w:rsidR="000240A2" w:rsidRPr="0021782A">
        <w:rPr>
          <w:rFonts w:asciiTheme="majorBidi" w:hAnsiTheme="majorBidi" w:cstheme="majorBidi"/>
          <w:b/>
          <w:i/>
          <w:iCs/>
          <w:sz w:val="24"/>
          <w:szCs w:val="24"/>
        </w:rPr>
        <w:t xml:space="preserve"> rationis ad bonum commune ab eo qui curam habet communi</w:t>
      </w:r>
      <w:r w:rsidR="001672E5" w:rsidRPr="0021782A">
        <w:rPr>
          <w:rFonts w:asciiTheme="majorBidi" w:hAnsiTheme="majorBidi" w:cstheme="majorBidi"/>
          <w:b/>
          <w:i/>
          <w:iCs/>
          <w:sz w:val="24"/>
          <w:szCs w:val="24"/>
        </w:rPr>
        <w:t>tatis promulgate</w:t>
      </w:r>
      <w:r w:rsidR="001672E5">
        <w:rPr>
          <w:rFonts w:asciiTheme="majorBidi" w:hAnsiTheme="majorBidi" w:cstheme="majorBidi"/>
          <w:b/>
          <w:sz w:val="24"/>
          <w:szCs w:val="24"/>
        </w:rPr>
        <w:t>” (ST I-II, q. 90, a. 4.</w:t>
      </w:r>
    </w:p>
    <w:p w:rsidR="0021782A" w:rsidRPr="00CC4DD3" w:rsidRDefault="0021782A" w:rsidP="00EE6EFF">
      <w:pPr>
        <w:pStyle w:val="ListParagraph"/>
        <w:tabs>
          <w:tab w:val="left" w:pos="5220"/>
        </w:tabs>
        <w:ind w:left="1080"/>
        <w:rPr>
          <w:rFonts w:asciiTheme="majorBidi" w:hAnsiTheme="majorBidi" w:cstheme="majorBidi"/>
          <w:b/>
          <w:sz w:val="24"/>
          <w:szCs w:val="24"/>
        </w:rPr>
      </w:pPr>
    </w:p>
    <w:p w:rsidR="00EE6EFF" w:rsidRPr="00CC4DD3" w:rsidRDefault="00EE6EFF" w:rsidP="00EE6EFF">
      <w:pPr>
        <w:pStyle w:val="ListParagraph"/>
        <w:numPr>
          <w:ilvl w:val="0"/>
          <w:numId w:val="2"/>
        </w:numPr>
        <w:tabs>
          <w:tab w:val="left" w:pos="5220"/>
        </w:tabs>
        <w:rPr>
          <w:rFonts w:asciiTheme="majorBidi" w:hAnsiTheme="majorBidi" w:cstheme="majorBidi"/>
          <w:b/>
          <w:sz w:val="24"/>
          <w:szCs w:val="24"/>
        </w:rPr>
      </w:pPr>
      <w:r w:rsidRPr="00CC4DD3">
        <w:rPr>
          <w:rFonts w:asciiTheme="majorBidi" w:hAnsiTheme="majorBidi" w:cstheme="majorBidi"/>
          <w:b/>
          <w:sz w:val="24"/>
          <w:szCs w:val="24"/>
        </w:rPr>
        <w:t>Who are those that can make laws in the Church?</w:t>
      </w:r>
    </w:p>
    <w:p w:rsidR="00EE6EFF" w:rsidRDefault="00F72F37"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 xml:space="preserve">Pope, College of bishops (cc.33, 336, </w:t>
      </w:r>
      <w:r w:rsidR="00EE6EFF">
        <w:rPr>
          <w:rFonts w:asciiTheme="majorBidi" w:hAnsiTheme="majorBidi" w:cstheme="majorBidi"/>
          <w:sz w:val="24"/>
          <w:szCs w:val="24"/>
        </w:rPr>
        <w:t>337), particular council Conferences of Bishops (c. 445, 455), diocesan bishops and equivalent (c. 391, 2, 381, 2).</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Only pope and college of bishops can delegate legislative power.</w:t>
      </w:r>
    </w:p>
    <w:p w:rsidR="00EE6EFF" w:rsidRDefault="00EE6EFF" w:rsidP="00EE6EFF">
      <w:pPr>
        <w:pStyle w:val="ListParagraph"/>
        <w:tabs>
          <w:tab w:val="left" w:pos="5220"/>
        </w:tabs>
        <w:ind w:left="1080"/>
        <w:rPr>
          <w:rFonts w:asciiTheme="majorBidi" w:hAnsiTheme="majorBidi" w:cstheme="majorBidi"/>
          <w:sz w:val="24"/>
          <w:szCs w:val="24"/>
        </w:rPr>
      </w:pPr>
    </w:p>
    <w:p w:rsidR="00EE6EFF" w:rsidRDefault="00EE6EFF" w:rsidP="00EE6EFF">
      <w:pPr>
        <w:pStyle w:val="ListParagraph"/>
        <w:tabs>
          <w:tab w:val="left" w:pos="5220"/>
        </w:tabs>
        <w:ind w:left="1080"/>
        <w:rPr>
          <w:rFonts w:asciiTheme="majorBidi" w:hAnsiTheme="majorBidi" w:cstheme="majorBidi"/>
          <w:sz w:val="24"/>
          <w:szCs w:val="24"/>
        </w:rPr>
      </w:pPr>
    </w:p>
    <w:p w:rsidR="00EE6EFF" w:rsidRPr="00D13C30" w:rsidRDefault="00EE6EFF" w:rsidP="00EE6EFF">
      <w:pPr>
        <w:pStyle w:val="ListParagraph"/>
        <w:numPr>
          <w:ilvl w:val="0"/>
          <w:numId w:val="2"/>
        </w:numPr>
        <w:tabs>
          <w:tab w:val="left" w:pos="5220"/>
        </w:tabs>
        <w:rPr>
          <w:rFonts w:asciiTheme="majorBidi" w:hAnsiTheme="majorBidi" w:cstheme="majorBidi"/>
          <w:b/>
          <w:sz w:val="24"/>
          <w:szCs w:val="24"/>
        </w:rPr>
      </w:pPr>
      <w:r w:rsidRPr="00D13C30">
        <w:rPr>
          <w:rFonts w:asciiTheme="majorBidi" w:hAnsiTheme="majorBidi" w:cstheme="majorBidi"/>
          <w:b/>
          <w:sz w:val="24"/>
          <w:szCs w:val="24"/>
        </w:rPr>
        <w:t>Hierarchy of legislative Authorities in the Church</w:t>
      </w:r>
    </w:p>
    <w:p w:rsidR="00EE6EFF" w:rsidRDefault="00EE6EFF" w:rsidP="00EE6EFF">
      <w:pPr>
        <w:pStyle w:val="ListParagraph"/>
        <w:tabs>
          <w:tab w:val="left" w:pos="5220"/>
        </w:tabs>
        <w:rPr>
          <w:rFonts w:asciiTheme="majorBidi" w:hAnsiTheme="majorBidi" w:cstheme="majorBidi"/>
          <w:sz w:val="24"/>
          <w:szCs w:val="24"/>
        </w:rPr>
      </w:pP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The laws of the pope and ecumenical councils are higher down other laws.</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No legislator may validly make a law contrary to a ius of a higher legislator (c. 135, 2).</w:t>
      </w:r>
    </w:p>
    <w:p w:rsidR="00EE6EFF" w:rsidRPr="0029568B" w:rsidRDefault="00EE6EFF" w:rsidP="00EE6EFF">
      <w:pPr>
        <w:pStyle w:val="ListParagraph"/>
        <w:tabs>
          <w:tab w:val="left" w:pos="5220"/>
        </w:tabs>
        <w:rPr>
          <w:rFonts w:asciiTheme="majorBidi" w:hAnsiTheme="majorBidi" w:cstheme="majorBidi"/>
          <w:b/>
          <w:bCs/>
          <w:sz w:val="24"/>
          <w:szCs w:val="24"/>
        </w:rPr>
      </w:pPr>
    </w:p>
    <w:p w:rsidR="00EE6EFF" w:rsidRPr="0029568B" w:rsidRDefault="00EE6EFF" w:rsidP="00EE6EFF">
      <w:pPr>
        <w:pStyle w:val="ListParagraph"/>
        <w:numPr>
          <w:ilvl w:val="0"/>
          <w:numId w:val="2"/>
        </w:numPr>
        <w:tabs>
          <w:tab w:val="left" w:pos="5220"/>
        </w:tabs>
        <w:rPr>
          <w:rFonts w:asciiTheme="majorBidi" w:hAnsiTheme="majorBidi" w:cstheme="majorBidi"/>
          <w:b/>
          <w:bCs/>
          <w:sz w:val="24"/>
          <w:szCs w:val="24"/>
        </w:rPr>
      </w:pPr>
      <w:r w:rsidRPr="0029568B">
        <w:rPr>
          <w:rFonts w:asciiTheme="majorBidi" w:hAnsiTheme="majorBidi" w:cstheme="majorBidi"/>
          <w:b/>
          <w:bCs/>
          <w:sz w:val="24"/>
          <w:szCs w:val="24"/>
        </w:rPr>
        <w:t>What are the procedure for law to come into existence?</w:t>
      </w:r>
      <w:r w:rsidR="007676CD">
        <w:rPr>
          <w:rFonts w:asciiTheme="majorBidi" w:hAnsiTheme="majorBidi" w:cstheme="majorBidi"/>
          <w:b/>
          <w:bCs/>
          <w:sz w:val="24"/>
          <w:szCs w:val="24"/>
        </w:rPr>
        <w:t xml:space="preserve"> </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Text of law drafted in writing.</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Approved and signed by the Legislator.</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Promulgation according to requirement of canon 8.</w:t>
      </w:r>
    </w:p>
    <w:p w:rsidR="00EE6EFF" w:rsidRPr="00E41763" w:rsidRDefault="00EE6EFF" w:rsidP="00EE6EFF">
      <w:pPr>
        <w:pStyle w:val="ListParagraph"/>
        <w:numPr>
          <w:ilvl w:val="0"/>
          <w:numId w:val="1"/>
        </w:numPr>
        <w:tabs>
          <w:tab w:val="left" w:pos="5220"/>
        </w:tabs>
        <w:rPr>
          <w:rFonts w:asciiTheme="majorBidi" w:hAnsiTheme="majorBidi" w:cstheme="majorBidi"/>
          <w:i/>
          <w:sz w:val="24"/>
          <w:szCs w:val="24"/>
        </w:rPr>
      </w:pPr>
      <w:r w:rsidRPr="00E41763">
        <w:rPr>
          <w:rFonts w:asciiTheme="majorBidi" w:hAnsiTheme="majorBidi" w:cstheme="majorBidi"/>
          <w:i/>
          <w:sz w:val="24"/>
          <w:szCs w:val="24"/>
        </w:rPr>
        <w:t>Vacatio legis</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Law goes into effect on established day.</w:t>
      </w:r>
    </w:p>
    <w:p w:rsidR="00EE6EFF" w:rsidRDefault="00EE6EFF" w:rsidP="00EE6EFF">
      <w:pPr>
        <w:tabs>
          <w:tab w:val="left" w:pos="5220"/>
        </w:tabs>
        <w:rPr>
          <w:rFonts w:asciiTheme="majorBidi" w:hAnsiTheme="majorBidi" w:cstheme="majorBidi"/>
          <w:sz w:val="24"/>
          <w:szCs w:val="24"/>
        </w:rPr>
      </w:pPr>
    </w:p>
    <w:p w:rsidR="00EE6EFF" w:rsidRPr="00BC1DF3" w:rsidRDefault="00EE6EFF" w:rsidP="0021782A">
      <w:pPr>
        <w:pStyle w:val="ListParagraph"/>
        <w:numPr>
          <w:ilvl w:val="0"/>
          <w:numId w:val="2"/>
        </w:numPr>
        <w:tabs>
          <w:tab w:val="left" w:pos="5220"/>
        </w:tabs>
        <w:rPr>
          <w:rFonts w:asciiTheme="majorBidi" w:hAnsiTheme="majorBidi" w:cstheme="majorBidi"/>
          <w:b/>
          <w:sz w:val="24"/>
          <w:szCs w:val="24"/>
        </w:rPr>
      </w:pPr>
      <w:r w:rsidRPr="0021782A">
        <w:rPr>
          <w:rFonts w:asciiTheme="majorBidi" w:hAnsiTheme="majorBidi" w:cstheme="majorBidi"/>
          <w:b/>
          <w:bCs/>
          <w:sz w:val="24"/>
          <w:szCs w:val="24"/>
        </w:rPr>
        <w:t>Characteristics of Law</w:t>
      </w:r>
    </w:p>
    <w:p w:rsidR="00BC1DF3" w:rsidRPr="0021782A" w:rsidRDefault="00BC1DF3" w:rsidP="00BC1DF3">
      <w:pPr>
        <w:pStyle w:val="ListParagraph"/>
        <w:tabs>
          <w:tab w:val="left" w:pos="5220"/>
        </w:tabs>
        <w:ind w:left="1080"/>
        <w:rPr>
          <w:rFonts w:asciiTheme="majorBidi" w:hAnsiTheme="majorBidi" w:cstheme="majorBidi"/>
          <w:b/>
          <w:sz w:val="24"/>
          <w:szCs w:val="24"/>
        </w:rPr>
      </w:pPr>
    </w:p>
    <w:p w:rsidR="00EE6EFF" w:rsidRDefault="00EE6EFF" w:rsidP="00EE6EFF">
      <w:pPr>
        <w:pStyle w:val="ListParagraph"/>
        <w:numPr>
          <w:ilvl w:val="0"/>
          <w:numId w:val="1"/>
        </w:numPr>
        <w:spacing w:after="120" w:line="240" w:lineRule="exact"/>
        <w:ind w:left="0"/>
        <w:jc w:val="both"/>
        <w:rPr>
          <w:rFonts w:asciiTheme="majorBidi" w:hAnsiTheme="majorBidi" w:cstheme="majorBidi"/>
          <w:sz w:val="24"/>
          <w:szCs w:val="24"/>
        </w:rPr>
      </w:pPr>
      <w:r w:rsidRPr="00EC0186">
        <w:rPr>
          <w:rFonts w:asciiTheme="majorBidi" w:hAnsiTheme="majorBidi" w:cstheme="majorBidi"/>
          <w:b/>
          <w:bCs/>
          <w:sz w:val="24"/>
          <w:szCs w:val="24"/>
        </w:rPr>
        <w:t>Rationality</w:t>
      </w:r>
      <w:r>
        <w:rPr>
          <w:rFonts w:asciiTheme="majorBidi" w:hAnsiTheme="majorBidi" w:cstheme="majorBidi"/>
          <w:sz w:val="24"/>
          <w:szCs w:val="24"/>
        </w:rPr>
        <w:t xml:space="preserve">. Reasonableness (cf. can. 24, 2), it serves a useful purpose and upholds the common good. For law to achieve </w:t>
      </w:r>
      <w:r w:rsidR="007676CD">
        <w:rPr>
          <w:rFonts w:asciiTheme="majorBidi" w:hAnsiTheme="majorBidi" w:cstheme="majorBidi"/>
          <w:sz w:val="24"/>
          <w:szCs w:val="24"/>
        </w:rPr>
        <w:t>its purpose, it must be reasonabl</w:t>
      </w:r>
      <w:r>
        <w:rPr>
          <w:rFonts w:asciiTheme="majorBidi" w:hAnsiTheme="majorBidi" w:cstheme="majorBidi"/>
          <w:sz w:val="24"/>
          <w:szCs w:val="24"/>
        </w:rPr>
        <w:t xml:space="preserve">e. A reasonable law promotes the welfare of the community, including individuals who comprise it; an </w:t>
      </w:r>
      <w:r w:rsidR="008253A9">
        <w:rPr>
          <w:rFonts w:asciiTheme="majorBidi" w:hAnsiTheme="majorBidi" w:cstheme="majorBidi"/>
          <w:sz w:val="24"/>
          <w:szCs w:val="24"/>
        </w:rPr>
        <w:t>unreasonable</w:t>
      </w:r>
      <w:r>
        <w:rPr>
          <w:rFonts w:asciiTheme="majorBidi" w:hAnsiTheme="majorBidi" w:cstheme="majorBidi"/>
          <w:sz w:val="24"/>
          <w:szCs w:val="24"/>
        </w:rPr>
        <w:t xml:space="preserve"> law is harmful to the common good. Law last in the community as long as the legislator or his successor consider it useful (cf. c. 20)</w:t>
      </w:r>
    </w:p>
    <w:p w:rsidR="00EE6EFF" w:rsidRDefault="00EE6EFF" w:rsidP="00EE6EFF">
      <w:pPr>
        <w:pStyle w:val="ListParagraph"/>
        <w:numPr>
          <w:ilvl w:val="0"/>
          <w:numId w:val="1"/>
        </w:numPr>
        <w:spacing w:after="120" w:line="240" w:lineRule="exact"/>
        <w:ind w:left="0"/>
        <w:jc w:val="both"/>
        <w:rPr>
          <w:rFonts w:asciiTheme="majorBidi" w:hAnsiTheme="majorBidi" w:cstheme="majorBidi"/>
          <w:sz w:val="24"/>
          <w:szCs w:val="24"/>
        </w:rPr>
      </w:pPr>
      <w:r w:rsidRPr="00EC0186">
        <w:rPr>
          <w:rFonts w:asciiTheme="majorBidi" w:hAnsiTheme="majorBidi" w:cstheme="majorBidi"/>
          <w:b/>
          <w:bCs/>
          <w:sz w:val="24"/>
          <w:szCs w:val="24"/>
        </w:rPr>
        <w:lastRenderedPageBreak/>
        <w:t>General character</w:t>
      </w:r>
      <w:r>
        <w:rPr>
          <w:rFonts w:asciiTheme="majorBidi" w:hAnsiTheme="majorBidi" w:cstheme="majorBidi"/>
          <w:sz w:val="24"/>
          <w:szCs w:val="24"/>
        </w:rPr>
        <w:t xml:space="preserve">. Made for the community. It has general character and applies to everyone equally for whom it is made (e.g. for all pastors in the Latin </w:t>
      </w:r>
      <w:r w:rsidR="006676E2">
        <w:rPr>
          <w:rFonts w:asciiTheme="majorBidi" w:hAnsiTheme="majorBidi" w:cstheme="majorBidi"/>
          <w:sz w:val="24"/>
          <w:szCs w:val="24"/>
        </w:rPr>
        <w:t>Church</w:t>
      </w:r>
      <w:r>
        <w:rPr>
          <w:rFonts w:asciiTheme="majorBidi" w:hAnsiTheme="majorBidi" w:cstheme="majorBidi"/>
          <w:sz w:val="24"/>
          <w:szCs w:val="24"/>
        </w:rPr>
        <w:t>, all religious in the diocese, all the faithful in the episcopal conference region, etc).</w:t>
      </w:r>
    </w:p>
    <w:p w:rsidR="00EE6EFF" w:rsidRDefault="00EE6EFF" w:rsidP="00EE6EFF">
      <w:pPr>
        <w:pStyle w:val="ListParagraph"/>
        <w:numPr>
          <w:ilvl w:val="0"/>
          <w:numId w:val="1"/>
        </w:numPr>
        <w:spacing w:after="120" w:line="240" w:lineRule="exact"/>
        <w:ind w:left="0"/>
        <w:jc w:val="both"/>
        <w:rPr>
          <w:rFonts w:asciiTheme="majorBidi" w:hAnsiTheme="majorBidi" w:cstheme="majorBidi"/>
          <w:sz w:val="24"/>
          <w:szCs w:val="24"/>
        </w:rPr>
      </w:pPr>
      <w:r w:rsidRPr="00EC0186">
        <w:rPr>
          <w:rFonts w:asciiTheme="majorBidi" w:hAnsiTheme="majorBidi" w:cstheme="majorBidi"/>
          <w:b/>
          <w:bCs/>
          <w:sz w:val="24"/>
          <w:szCs w:val="24"/>
        </w:rPr>
        <w:t>Normative.</w:t>
      </w:r>
      <w:r>
        <w:rPr>
          <w:rFonts w:asciiTheme="majorBidi" w:hAnsiTheme="majorBidi" w:cstheme="majorBidi"/>
          <w:sz w:val="24"/>
          <w:szCs w:val="24"/>
        </w:rPr>
        <w:t xml:space="preserve"> It is binding. This character is necessary for law to achieve its goal.</w:t>
      </w:r>
    </w:p>
    <w:p w:rsidR="00EE6EFF" w:rsidRDefault="00EE6EFF" w:rsidP="00EE6EFF">
      <w:pPr>
        <w:pStyle w:val="ListParagraph"/>
        <w:spacing w:after="120" w:line="240" w:lineRule="exact"/>
        <w:ind w:left="0"/>
        <w:jc w:val="both"/>
        <w:rPr>
          <w:rFonts w:asciiTheme="majorBidi" w:hAnsiTheme="majorBidi" w:cstheme="majorBidi"/>
          <w:sz w:val="24"/>
          <w:szCs w:val="24"/>
        </w:rPr>
      </w:pPr>
      <w:r>
        <w:rPr>
          <w:rFonts w:asciiTheme="majorBidi" w:hAnsiTheme="majorBidi" w:cstheme="majorBidi"/>
          <w:sz w:val="24"/>
          <w:szCs w:val="24"/>
        </w:rPr>
        <w:t>Canon law binds in conscience unless there are causes that excuse from their observance. Because canon law is binding in conscience, it is not necessary to legislate penalties for the violation of the law, except for serious crimes where the penalties are required for the common good. Rather, the faithful are called voluntarily to submit to the demands of the law out of respect for Christ’s Church and in the hope of salvation, which is the ultimate goal of canon law (c. c. 1752).</w:t>
      </w:r>
    </w:p>
    <w:p w:rsidR="00EE6EFF" w:rsidRDefault="00EE6EFF" w:rsidP="00EE6EFF">
      <w:pPr>
        <w:pStyle w:val="ListParagraph"/>
        <w:spacing w:after="120" w:line="240" w:lineRule="exact"/>
        <w:ind w:left="0"/>
        <w:jc w:val="both"/>
        <w:rPr>
          <w:rFonts w:asciiTheme="majorBidi" w:hAnsiTheme="majorBidi" w:cstheme="majorBidi"/>
          <w:sz w:val="24"/>
          <w:szCs w:val="24"/>
        </w:rPr>
      </w:pPr>
    </w:p>
    <w:p w:rsidR="00EE6EFF" w:rsidRPr="00B72099" w:rsidRDefault="00EE6EFF" w:rsidP="00EE6EFF">
      <w:pPr>
        <w:pStyle w:val="ListParagraph"/>
        <w:spacing w:after="120" w:line="240" w:lineRule="exact"/>
        <w:ind w:left="0"/>
        <w:jc w:val="both"/>
        <w:rPr>
          <w:rFonts w:asciiTheme="majorBidi" w:hAnsiTheme="majorBidi" w:cstheme="majorBidi"/>
          <w:b/>
          <w:bCs/>
          <w:sz w:val="24"/>
          <w:szCs w:val="24"/>
        </w:rPr>
      </w:pPr>
      <w:r w:rsidRPr="00B72099">
        <w:rPr>
          <w:rFonts w:asciiTheme="majorBidi" w:hAnsiTheme="majorBidi" w:cstheme="majorBidi"/>
          <w:b/>
          <w:bCs/>
          <w:sz w:val="24"/>
          <w:szCs w:val="24"/>
        </w:rPr>
        <w:t>REMEDIES FOR USELESS LAW</w:t>
      </w:r>
    </w:p>
    <w:p w:rsidR="00EE6EFF" w:rsidRDefault="00EE6EFF" w:rsidP="00EE6EFF">
      <w:pPr>
        <w:pStyle w:val="ListParagraph"/>
        <w:numPr>
          <w:ilvl w:val="0"/>
          <w:numId w:val="1"/>
        </w:numPr>
        <w:spacing w:after="120" w:line="240" w:lineRule="exact"/>
        <w:ind w:left="0"/>
        <w:jc w:val="both"/>
        <w:rPr>
          <w:rFonts w:asciiTheme="majorBidi" w:hAnsiTheme="majorBidi" w:cstheme="majorBidi"/>
          <w:sz w:val="24"/>
          <w:szCs w:val="24"/>
        </w:rPr>
      </w:pPr>
      <w:r>
        <w:rPr>
          <w:rFonts w:asciiTheme="majorBidi" w:hAnsiTheme="majorBidi" w:cstheme="majorBidi"/>
          <w:sz w:val="24"/>
          <w:szCs w:val="24"/>
        </w:rPr>
        <w:t>Non- acceptance of law or non r-reception of law, this occurs when the majority of the members of the community ignores the law and never practices it right from its inception due to practical impossibility or harm that would come from observing it.</w:t>
      </w:r>
    </w:p>
    <w:p w:rsidR="00EE6EFF" w:rsidRDefault="00EE6EFF" w:rsidP="00EE6EFF">
      <w:pPr>
        <w:pStyle w:val="ListParagraph"/>
        <w:numPr>
          <w:ilvl w:val="0"/>
          <w:numId w:val="1"/>
        </w:numPr>
        <w:spacing w:after="120" w:line="240" w:lineRule="exact"/>
        <w:ind w:left="0"/>
        <w:jc w:val="both"/>
        <w:rPr>
          <w:rFonts w:asciiTheme="majorBidi" w:hAnsiTheme="majorBidi" w:cstheme="majorBidi"/>
          <w:sz w:val="24"/>
          <w:szCs w:val="24"/>
        </w:rPr>
      </w:pPr>
      <w:r>
        <w:rPr>
          <w:rFonts w:asciiTheme="majorBidi" w:hAnsiTheme="majorBidi" w:cstheme="majorBidi"/>
          <w:sz w:val="24"/>
          <w:szCs w:val="24"/>
        </w:rPr>
        <w:t>A law might be received well initially but which over time becomes harmful and falls into desuetude, the phenomenon known as the intrinsic cessation of law. For good reason, individuals and communities may be dispensed from a law (cc. 85 – 93); they might be given a privilege exempting them from the law’s observance (cc. 76-84). In some situations, individuals and small groups may invoke the  virtue of epieikeia (epikeia) for justifiable reasons. These phenomena, in some respects unique to the system of canon law, reflect the essential characteristic of the law’s rationality. If the law is not serving a reasonable purpose, it is not truly functioning as law should, so an appropriate remedy will be needed, to be provided by a competent authority or by the subjects of the law themselves. The subjects of canon law are not passive but are actively involved in determining the law’s practical meaning and implementation in the local churches and communities.</w:t>
      </w:r>
    </w:p>
    <w:p w:rsidR="00EE6EFF" w:rsidRDefault="00EE6EFF" w:rsidP="00EE6EFF">
      <w:pPr>
        <w:pStyle w:val="ListParagraph"/>
        <w:tabs>
          <w:tab w:val="left" w:pos="5220"/>
        </w:tabs>
        <w:ind w:left="1080"/>
        <w:rPr>
          <w:rFonts w:asciiTheme="majorBidi" w:hAnsiTheme="majorBidi" w:cstheme="majorBidi"/>
          <w:sz w:val="24"/>
          <w:szCs w:val="24"/>
        </w:rPr>
      </w:pPr>
    </w:p>
    <w:p w:rsidR="00EE6EFF" w:rsidRDefault="00EE6EFF" w:rsidP="00EE6EFF">
      <w:pPr>
        <w:pStyle w:val="ListParagraph"/>
        <w:tabs>
          <w:tab w:val="left" w:pos="5220"/>
        </w:tabs>
        <w:ind w:left="1080"/>
        <w:rPr>
          <w:rFonts w:asciiTheme="majorBidi" w:hAnsiTheme="majorBidi" w:cstheme="majorBidi"/>
          <w:sz w:val="24"/>
          <w:szCs w:val="24"/>
        </w:rPr>
      </w:pPr>
    </w:p>
    <w:p w:rsidR="00EE6EFF" w:rsidRDefault="00EE6EFF" w:rsidP="00EE6EFF">
      <w:pPr>
        <w:pStyle w:val="ListParagraph"/>
        <w:tabs>
          <w:tab w:val="left" w:pos="5220"/>
        </w:tabs>
        <w:ind w:left="1080"/>
        <w:rPr>
          <w:rFonts w:asciiTheme="majorBidi" w:hAnsiTheme="majorBidi" w:cstheme="majorBidi"/>
          <w:sz w:val="24"/>
          <w:szCs w:val="24"/>
        </w:rPr>
      </w:pPr>
    </w:p>
    <w:p w:rsidR="00EE6EFF" w:rsidRPr="00E17C4B" w:rsidRDefault="00EE6EFF" w:rsidP="00EE6EFF">
      <w:pPr>
        <w:pStyle w:val="ListParagraph"/>
        <w:numPr>
          <w:ilvl w:val="0"/>
          <w:numId w:val="2"/>
        </w:numPr>
        <w:tabs>
          <w:tab w:val="left" w:pos="5220"/>
        </w:tabs>
        <w:rPr>
          <w:rFonts w:asciiTheme="majorBidi" w:hAnsiTheme="majorBidi" w:cstheme="majorBidi"/>
          <w:b/>
          <w:sz w:val="24"/>
          <w:szCs w:val="24"/>
        </w:rPr>
      </w:pPr>
      <w:r w:rsidRPr="00E17C4B">
        <w:rPr>
          <w:rFonts w:asciiTheme="majorBidi" w:hAnsiTheme="majorBidi" w:cstheme="majorBidi"/>
          <w:b/>
          <w:sz w:val="24"/>
          <w:szCs w:val="24"/>
        </w:rPr>
        <w:t>Goal of Law</w:t>
      </w:r>
    </w:p>
    <w:p w:rsidR="00EE6EFF" w:rsidRDefault="00EE6EFF" w:rsidP="00EE6EFF">
      <w:pPr>
        <w:pStyle w:val="ListParagraph"/>
        <w:tabs>
          <w:tab w:val="left" w:pos="5220"/>
        </w:tabs>
        <w:rPr>
          <w:rFonts w:asciiTheme="majorBidi" w:hAnsiTheme="majorBidi" w:cstheme="majorBidi"/>
          <w:sz w:val="24"/>
          <w:szCs w:val="24"/>
        </w:rPr>
      </w:pP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For common good, providing harmony and unity in a society.</w:t>
      </w:r>
    </w:p>
    <w:p w:rsidR="00EE6EFF" w:rsidRDefault="00EE6EFF" w:rsidP="00EE6EFF">
      <w:pPr>
        <w:pStyle w:val="ListParagraph"/>
        <w:tabs>
          <w:tab w:val="left" w:pos="5220"/>
        </w:tabs>
        <w:rPr>
          <w:rFonts w:asciiTheme="majorBidi" w:hAnsiTheme="majorBidi" w:cstheme="majorBidi"/>
          <w:sz w:val="24"/>
          <w:szCs w:val="24"/>
        </w:rPr>
      </w:pPr>
    </w:p>
    <w:p w:rsidR="00EE6EFF" w:rsidRDefault="00EE6EFF" w:rsidP="00EE6EFF">
      <w:pPr>
        <w:pStyle w:val="ListParagraph"/>
        <w:numPr>
          <w:ilvl w:val="0"/>
          <w:numId w:val="2"/>
        </w:numPr>
        <w:tabs>
          <w:tab w:val="left" w:pos="5220"/>
        </w:tabs>
        <w:rPr>
          <w:rFonts w:asciiTheme="majorBidi" w:hAnsiTheme="majorBidi" w:cstheme="majorBidi"/>
          <w:b/>
          <w:sz w:val="24"/>
          <w:szCs w:val="24"/>
        </w:rPr>
      </w:pPr>
      <w:r w:rsidRPr="00E17C4B">
        <w:rPr>
          <w:rFonts w:asciiTheme="majorBidi" w:hAnsiTheme="majorBidi" w:cstheme="majorBidi"/>
          <w:b/>
          <w:sz w:val="24"/>
          <w:szCs w:val="24"/>
        </w:rPr>
        <w:t>Obligation of Law</w:t>
      </w:r>
    </w:p>
    <w:p w:rsidR="00EE6EFF" w:rsidRPr="00E17C4B" w:rsidRDefault="00EE6EFF" w:rsidP="00EE6EFF">
      <w:pPr>
        <w:pStyle w:val="ListParagraph"/>
        <w:numPr>
          <w:ilvl w:val="0"/>
          <w:numId w:val="1"/>
        </w:numPr>
        <w:tabs>
          <w:tab w:val="left" w:pos="5220"/>
        </w:tabs>
        <w:rPr>
          <w:rFonts w:asciiTheme="majorBidi" w:hAnsiTheme="majorBidi" w:cstheme="majorBidi"/>
          <w:b/>
          <w:sz w:val="24"/>
          <w:szCs w:val="24"/>
        </w:rPr>
      </w:pPr>
      <w:r>
        <w:rPr>
          <w:rFonts w:asciiTheme="majorBidi" w:hAnsiTheme="majorBidi" w:cstheme="majorBidi"/>
          <w:b/>
          <w:sz w:val="24"/>
          <w:szCs w:val="24"/>
        </w:rPr>
        <w:t>Canon law binds in consciouness</w:t>
      </w:r>
    </w:p>
    <w:p w:rsidR="00EE6EFF" w:rsidRDefault="00EE6EFF" w:rsidP="00EE6EFF">
      <w:pPr>
        <w:pStyle w:val="ListParagraph"/>
        <w:tabs>
          <w:tab w:val="left" w:pos="5220"/>
        </w:tabs>
        <w:rPr>
          <w:rFonts w:asciiTheme="majorBidi" w:hAnsiTheme="majorBidi" w:cstheme="majorBidi"/>
          <w:sz w:val="24"/>
          <w:szCs w:val="24"/>
        </w:rPr>
      </w:pPr>
    </w:p>
    <w:p w:rsidR="00EE6EFF" w:rsidRDefault="00EE6EFF" w:rsidP="00EE6EFF">
      <w:pPr>
        <w:pStyle w:val="ListParagraph"/>
        <w:tabs>
          <w:tab w:val="left" w:pos="5220"/>
        </w:tabs>
        <w:rPr>
          <w:rFonts w:asciiTheme="majorBidi" w:hAnsiTheme="majorBidi" w:cstheme="majorBidi"/>
          <w:sz w:val="24"/>
          <w:szCs w:val="24"/>
        </w:rPr>
      </w:pPr>
    </w:p>
    <w:p w:rsidR="00EE6EFF" w:rsidRPr="00CC4DD3" w:rsidRDefault="00EE6EFF" w:rsidP="00EE6EFF">
      <w:pPr>
        <w:pStyle w:val="ListParagraph"/>
        <w:numPr>
          <w:ilvl w:val="0"/>
          <w:numId w:val="2"/>
        </w:numPr>
        <w:tabs>
          <w:tab w:val="left" w:pos="5220"/>
        </w:tabs>
        <w:rPr>
          <w:rFonts w:asciiTheme="majorBidi" w:hAnsiTheme="majorBidi" w:cstheme="majorBidi"/>
          <w:b/>
          <w:sz w:val="24"/>
          <w:szCs w:val="24"/>
        </w:rPr>
      </w:pPr>
      <w:r w:rsidRPr="00CC4DD3">
        <w:rPr>
          <w:rFonts w:asciiTheme="majorBidi" w:hAnsiTheme="majorBidi" w:cstheme="majorBidi"/>
          <w:b/>
          <w:sz w:val="24"/>
          <w:szCs w:val="24"/>
        </w:rPr>
        <w:t>What is the difference between laws and administrative norms?</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The authority that issued them.</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Pr>
          <w:rFonts w:asciiTheme="majorBidi" w:hAnsiTheme="majorBidi" w:cstheme="majorBidi"/>
          <w:sz w:val="24"/>
          <w:szCs w:val="24"/>
        </w:rPr>
        <w:t>Administrative norms cannot be contrary to the laws of higher legislative authority</w:t>
      </w:r>
    </w:p>
    <w:p w:rsidR="00EE6EFF" w:rsidRPr="00CC4DD3" w:rsidRDefault="00EE6EFF" w:rsidP="00EE6EFF">
      <w:pPr>
        <w:pStyle w:val="ListParagraph"/>
        <w:tabs>
          <w:tab w:val="left" w:pos="5220"/>
        </w:tabs>
        <w:rPr>
          <w:rFonts w:asciiTheme="majorBidi" w:hAnsiTheme="majorBidi" w:cstheme="majorBidi"/>
          <w:b/>
          <w:sz w:val="24"/>
          <w:szCs w:val="24"/>
        </w:rPr>
      </w:pPr>
    </w:p>
    <w:p w:rsidR="00EE6EFF" w:rsidRDefault="00EE6EFF" w:rsidP="00EE6EFF">
      <w:pPr>
        <w:pStyle w:val="ListParagraph"/>
        <w:numPr>
          <w:ilvl w:val="0"/>
          <w:numId w:val="2"/>
        </w:numPr>
        <w:tabs>
          <w:tab w:val="left" w:pos="5220"/>
        </w:tabs>
        <w:rPr>
          <w:rFonts w:asciiTheme="majorBidi" w:hAnsiTheme="majorBidi" w:cstheme="majorBidi"/>
          <w:b/>
          <w:sz w:val="24"/>
          <w:szCs w:val="24"/>
        </w:rPr>
      </w:pPr>
      <w:r w:rsidRPr="00CC4DD3">
        <w:rPr>
          <w:rFonts w:asciiTheme="majorBidi" w:hAnsiTheme="majorBidi" w:cstheme="majorBidi"/>
          <w:b/>
          <w:sz w:val="24"/>
          <w:szCs w:val="24"/>
        </w:rPr>
        <w:t>When is law established?</w:t>
      </w:r>
      <w:r>
        <w:rPr>
          <w:rFonts w:asciiTheme="majorBidi" w:hAnsiTheme="majorBidi" w:cstheme="majorBidi"/>
          <w:b/>
          <w:sz w:val="24"/>
          <w:szCs w:val="24"/>
        </w:rPr>
        <w:t xml:space="preserve"> </w:t>
      </w:r>
    </w:p>
    <w:p w:rsidR="00EE6EFF" w:rsidRDefault="00EE6EFF" w:rsidP="00EE6EFF">
      <w:pPr>
        <w:pStyle w:val="ListParagraph"/>
        <w:numPr>
          <w:ilvl w:val="0"/>
          <w:numId w:val="1"/>
        </w:numPr>
        <w:tabs>
          <w:tab w:val="left" w:pos="5220"/>
        </w:tabs>
        <w:rPr>
          <w:rFonts w:asciiTheme="majorBidi" w:hAnsiTheme="majorBidi" w:cstheme="majorBidi"/>
          <w:sz w:val="24"/>
          <w:szCs w:val="24"/>
        </w:rPr>
      </w:pPr>
      <w:r w:rsidRPr="00CC4DD3">
        <w:rPr>
          <w:rFonts w:asciiTheme="majorBidi" w:hAnsiTheme="majorBidi" w:cstheme="majorBidi"/>
          <w:sz w:val="24"/>
          <w:szCs w:val="24"/>
        </w:rPr>
        <w:t>When it is promulgated</w:t>
      </w:r>
    </w:p>
    <w:p w:rsidR="008218AF" w:rsidRDefault="008218AF" w:rsidP="008218AF">
      <w:pPr>
        <w:tabs>
          <w:tab w:val="left" w:pos="5220"/>
        </w:tabs>
        <w:rPr>
          <w:rFonts w:asciiTheme="majorBidi" w:hAnsiTheme="majorBidi" w:cstheme="majorBidi"/>
          <w:sz w:val="24"/>
          <w:szCs w:val="24"/>
        </w:rPr>
      </w:pPr>
    </w:p>
    <w:p w:rsidR="008218AF" w:rsidRDefault="008218AF" w:rsidP="008218AF">
      <w:pPr>
        <w:spacing w:after="120" w:line="240" w:lineRule="exact"/>
        <w:jc w:val="both"/>
        <w:rPr>
          <w:rFonts w:asciiTheme="majorBidi" w:hAnsiTheme="majorBidi" w:cstheme="majorBidi"/>
          <w:b/>
          <w:bCs/>
          <w:sz w:val="24"/>
          <w:szCs w:val="24"/>
        </w:rPr>
      </w:pPr>
      <w:r>
        <w:rPr>
          <w:rFonts w:asciiTheme="majorBidi" w:hAnsiTheme="majorBidi" w:cstheme="majorBidi"/>
          <w:b/>
          <w:bCs/>
          <w:sz w:val="24"/>
          <w:szCs w:val="24"/>
        </w:rPr>
        <w:t>Official Interpretation of Law</w:t>
      </w:r>
    </w:p>
    <w:p w:rsidR="008218AF" w:rsidRDefault="008218AF" w:rsidP="008218AF">
      <w:pPr>
        <w:spacing w:after="120" w:line="240" w:lineRule="exact"/>
        <w:jc w:val="both"/>
        <w:rPr>
          <w:rFonts w:asciiTheme="majorBidi" w:hAnsiTheme="majorBidi" w:cstheme="majorBidi"/>
          <w:sz w:val="24"/>
          <w:szCs w:val="24"/>
        </w:rPr>
      </w:pPr>
      <w:r w:rsidRPr="00B66DC5">
        <w:rPr>
          <w:rFonts w:asciiTheme="majorBidi" w:hAnsiTheme="majorBidi" w:cstheme="majorBidi"/>
          <w:sz w:val="24"/>
          <w:szCs w:val="24"/>
        </w:rPr>
        <w:t>Authentic interpretation of Canon Law can be done by the l</w:t>
      </w:r>
      <w:r>
        <w:rPr>
          <w:rFonts w:asciiTheme="majorBidi" w:hAnsiTheme="majorBidi" w:cstheme="majorBidi"/>
          <w:sz w:val="24"/>
          <w:szCs w:val="24"/>
        </w:rPr>
        <w:t>egislator, or one he confers the power to do so. Such interpretation when given in form of law has force of law and needs to be promulgated. In canon law, competent legislator resolves the case of the meaning of law or doubts of law. The supreme legislator entrusts certain powers of authentically interpreting law to the Pontifical Council for the Interpretation of the Legislative Tests (PCILT).</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Types of Authentic Interpretations:</w:t>
      </w:r>
    </w:p>
    <w:p w:rsidR="008218AF" w:rsidRDefault="008218AF" w:rsidP="008218AF">
      <w:pPr>
        <w:pStyle w:val="ListParagraph"/>
        <w:numPr>
          <w:ilvl w:val="0"/>
          <w:numId w:val="1"/>
        </w:numPr>
        <w:spacing w:after="120" w:line="240" w:lineRule="exact"/>
        <w:ind w:left="0"/>
        <w:jc w:val="both"/>
        <w:rPr>
          <w:rFonts w:asciiTheme="majorBidi" w:hAnsiTheme="majorBidi" w:cstheme="majorBidi"/>
          <w:sz w:val="24"/>
          <w:szCs w:val="24"/>
        </w:rPr>
      </w:pPr>
      <w:r w:rsidRPr="00433651">
        <w:rPr>
          <w:rFonts w:asciiTheme="majorBidi" w:hAnsiTheme="majorBidi" w:cstheme="majorBidi"/>
          <w:b/>
          <w:bCs/>
          <w:sz w:val="24"/>
          <w:szCs w:val="24"/>
        </w:rPr>
        <w:t>Declarative Interpretation</w:t>
      </w:r>
      <w:r>
        <w:rPr>
          <w:rFonts w:asciiTheme="majorBidi" w:hAnsiTheme="majorBidi" w:cstheme="majorBidi"/>
          <w:sz w:val="24"/>
          <w:szCs w:val="24"/>
        </w:rPr>
        <w:t xml:space="preserve">: Merely affirms the meaning of the wording of tha law that was already certain. </w:t>
      </w:r>
    </w:p>
    <w:p w:rsidR="008218AF" w:rsidRDefault="008218AF" w:rsidP="008218AF">
      <w:pPr>
        <w:pStyle w:val="ListParagraph"/>
        <w:numPr>
          <w:ilvl w:val="0"/>
          <w:numId w:val="1"/>
        </w:numPr>
        <w:spacing w:after="120" w:line="240" w:lineRule="exact"/>
        <w:ind w:left="0"/>
        <w:jc w:val="both"/>
        <w:rPr>
          <w:rFonts w:asciiTheme="majorBidi" w:hAnsiTheme="majorBidi" w:cstheme="majorBidi"/>
          <w:sz w:val="24"/>
          <w:szCs w:val="24"/>
        </w:rPr>
      </w:pPr>
      <w:r w:rsidRPr="00433651">
        <w:rPr>
          <w:rFonts w:asciiTheme="majorBidi" w:hAnsiTheme="majorBidi" w:cstheme="majorBidi"/>
          <w:b/>
          <w:bCs/>
          <w:sz w:val="24"/>
          <w:szCs w:val="24"/>
        </w:rPr>
        <w:t>Restrictive Interpretation</w:t>
      </w:r>
      <w:r>
        <w:rPr>
          <w:rFonts w:asciiTheme="majorBidi" w:hAnsiTheme="majorBidi" w:cstheme="majorBidi"/>
          <w:sz w:val="24"/>
          <w:szCs w:val="24"/>
        </w:rPr>
        <w:t>: Narrows the meaning and applicability of the law.</w:t>
      </w:r>
    </w:p>
    <w:p w:rsidR="008218AF" w:rsidRDefault="008218AF" w:rsidP="008218AF">
      <w:pPr>
        <w:pStyle w:val="ListParagraph"/>
        <w:numPr>
          <w:ilvl w:val="0"/>
          <w:numId w:val="1"/>
        </w:numPr>
        <w:spacing w:after="120" w:line="240" w:lineRule="exact"/>
        <w:ind w:left="0"/>
        <w:jc w:val="both"/>
        <w:rPr>
          <w:rFonts w:asciiTheme="majorBidi" w:hAnsiTheme="majorBidi" w:cstheme="majorBidi"/>
          <w:sz w:val="24"/>
          <w:szCs w:val="24"/>
        </w:rPr>
      </w:pPr>
      <w:r>
        <w:rPr>
          <w:rFonts w:asciiTheme="majorBidi" w:hAnsiTheme="majorBidi" w:cstheme="majorBidi"/>
          <w:b/>
          <w:bCs/>
          <w:sz w:val="24"/>
          <w:szCs w:val="24"/>
        </w:rPr>
        <w:t>Extensive Interpretation</w:t>
      </w:r>
      <w:r w:rsidRPr="00D97C12">
        <w:rPr>
          <w:rFonts w:asciiTheme="majorBidi" w:hAnsiTheme="majorBidi" w:cstheme="majorBidi"/>
          <w:sz w:val="24"/>
          <w:szCs w:val="24"/>
        </w:rPr>
        <w:t>:</w:t>
      </w:r>
      <w:r>
        <w:rPr>
          <w:rFonts w:asciiTheme="majorBidi" w:hAnsiTheme="majorBidi" w:cstheme="majorBidi"/>
          <w:sz w:val="24"/>
          <w:szCs w:val="24"/>
        </w:rPr>
        <w:t xml:space="preserve"> Broadens the meaning and applicability of the law beyond what is included in the text of law.</w:t>
      </w:r>
    </w:p>
    <w:p w:rsidR="008218AF" w:rsidRDefault="008218AF" w:rsidP="008218AF">
      <w:pPr>
        <w:pStyle w:val="ListParagraph"/>
        <w:numPr>
          <w:ilvl w:val="0"/>
          <w:numId w:val="1"/>
        </w:numPr>
        <w:spacing w:after="120" w:line="240" w:lineRule="exact"/>
        <w:ind w:left="0"/>
        <w:jc w:val="both"/>
        <w:rPr>
          <w:rFonts w:asciiTheme="majorBidi" w:hAnsiTheme="majorBidi" w:cstheme="majorBidi"/>
          <w:sz w:val="24"/>
          <w:szCs w:val="24"/>
        </w:rPr>
      </w:pPr>
      <w:r>
        <w:rPr>
          <w:rFonts w:asciiTheme="majorBidi" w:hAnsiTheme="majorBidi" w:cstheme="majorBidi"/>
          <w:b/>
          <w:bCs/>
          <w:sz w:val="24"/>
          <w:szCs w:val="24"/>
        </w:rPr>
        <w:t>Explanatory Interpretation</w:t>
      </w:r>
      <w:r w:rsidRPr="00555D6B">
        <w:rPr>
          <w:rFonts w:asciiTheme="majorBidi" w:hAnsiTheme="majorBidi" w:cstheme="majorBidi"/>
          <w:sz w:val="24"/>
          <w:szCs w:val="24"/>
        </w:rPr>
        <w:t>:</w:t>
      </w:r>
      <w:r>
        <w:rPr>
          <w:rFonts w:asciiTheme="majorBidi" w:hAnsiTheme="majorBidi" w:cstheme="majorBidi"/>
          <w:sz w:val="24"/>
          <w:szCs w:val="24"/>
        </w:rPr>
        <w:t xml:space="preserve"> Explains the meaning of a doubtful law, without extending or restricting its original meaning. </w:t>
      </w:r>
    </w:p>
    <w:p w:rsidR="008218AF" w:rsidRDefault="008218AF" w:rsidP="008218AF">
      <w:pPr>
        <w:pStyle w:val="ListParagraph"/>
        <w:spacing w:after="120" w:line="240" w:lineRule="exact"/>
        <w:ind w:left="0"/>
        <w:jc w:val="both"/>
        <w:rPr>
          <w:rFonts w:asciiTheme="majorBidi" w:hAnsiTheme="majorBidi" w:cstheme="majorBidi"/>
          <w:sz w:val="24"/>
          <w:szCs w:val="24"/>
        </w:rPr>
      </w:pPr>
      <w:r>
        <w:rPr>
          <w:rFonts w:asciiTheme="majorBidi" w:hAnsiTheme="majorBidi" w:cstheme="majorBidi"/>
          <w:b/>
          <w:bCs/>
          <w:sz w:val="24"/>
          <w:szCs w:val="24"/>
        </w:rPr>
        <w:t>Declarative interpretation only affirm the meaning of the law that is clear in itself</w:t>
      </w:r>
      <w:r w:rsidRPr="00E816BB">
        <w:rPr>
          <w:rFonts w:asciiTheme="majorBidi" w:hAnsiTheme="majorBidi" w:cstheme="majorBidi"/>
          <w:sz w:val="24"/>
          <w:szCs w:val="24"/>
        </w:rPr>
        <w:t>.</w:t>
      </w:r>
      <w:r>
        <w:rPr>
          <w:rFonts w:asciiTheme="majorBidi" w:hAnsiTheme="majorBidi" w:cstheme="majorBidi"/>
          <w:sz w:val="24"/>
          <w:szCs w:val="24"/>
        </w:rPr>
        <w:t xml:space="preserve"> With restrictive and extensive interpretation, the applicability of the law is narrowed ot broadened so that, effectively, it no longer has the same meaning. Explanatory interepretation makes no change in the literal meaning of the law, but determines the precise meaning of an ambiguous law.. Explanatory interpretation is really the only one that resolves a doubt inherent in the wording of the law (cf. can. 14). The other three respond to the question: “Does this law really mean what it says?” A declarative interpretation gives an affirmative answer to the question. A restrictive or extensive interpretation gives a negative answer, affirming that the law does not include this situation (restrictive), or that the law must be seen as also including this situation (extensive).</w:t>
      </w:r>
    </w:p>
    <w:p w:rsidR="008218AF" w:rsidRDefault="008218AF" w:rsidP="008218AF">
      <w:pPr>
        <w:pStyle w:val="ListParagraph"/>
        <w:spacing w:after="120" w:line="240" w:lineRule="exact"/>
        <w:ind w:left="0"/>
        <w:jc w:val="both"/>
        <w:rPr>
          <w:rFonts w:asciiTheme="majorBidi" w:hAnsiTheme="majorBidi" w:cstheme="majorBidi"/>
          <w:sz w:val="24"/>
          <w:szCs w:val="24"/>
        </w:rPr>
      </w:pPr>
      <w:r>
        <w:rPr>
          <w:rFonts w:asciiTheme="majorBidi" w:hAnsiTheme="majorBidi" w:cstheme="majorBidi"/>
          <w:b/>
          <w:bCs/>
          <w:sz w:val="24"/>
          <w:szCs w:val="24"/>
        </w:rPr>
        <w:t>To have the force of law, an authentic interpretation must be put forth in the form of law and promulgated</w:t>
      </w:r>
      <w:r w:rsidRPr="004F0D0A">
        <w:rPr>
          <w:rFonts w:asciiTheme="majorBidi" w:hAnsiTheme="majorBidi" w:cstheme="majorBidi"/>
          <w:sz w:val="24"/>
          <w:szCs w:val="24"/>
        </w:rPr>
        <w:t>;</w:t>
      </w:r>
      <w:r>
        <w:rPr>
          <w:rFonts w:asciiTheme="majorBidi" w:hAnsiTheme="majorBidi" w:cstheme="majorBidi"/>
          <w:sz w:val="24"/>
          <w:szCs w:val="24"/>
        </w:rPr>
        <w:t xml:space="preserve"> they go into force after the vacation defined in can. 8 has elapsed. A declarative interpretation has retroactive force, since no change is made to the law whose meaning was not objectively doubtful. Interpretation of law that is based on divine law is always retroactive. </w:t>
      </w:r>
    </w:p>
    <w:p w:rsidR="008218AF" w:rsidRPr="00F968CF" w:rsidRDefault="008218AF" w:rsidP="008218AF">
      <w:pPr>
        <w:pStyle w:val="ListParagraph"/>
        <w:spacing w:after="120" w:line="240" w:lineRule="exact"/>
        <w:ind w:left="0"/>
        <w:jc w:val="both"/>
        <w:rPr>
          <w:rFonts w:asciiTheme="majorBidi" w:hAnsiTheme="majorBidi" w:cstheme="majorBidi"/>
          <w:sz w:val="24"/>
          <w:szCs w:val="24"/>
        </w:rPr>
      </w:pPr>
      <w:r>
        <w:rPr>
          <w:rFonts w:asciiTheme="majorBidi" w:hAnsiTheme="majorBidi" w:cstheme="majorBidi"/>
          <w:b/>
          <w:bCs/>
          <w:sz w:val="24"/>
          <w:szCs w:val="24"/>
        </w:rPr>
        <w:t>Interpretations not given in the form of law do not bind juridically</w:t>
      </w:r>
      <w:r w:rsidRPr="009A1D3E">
        <w:rPr>
          <w:rFonts w:asciiTheme="majorBidi" w:hAnsiTheme="majorBidi" w:cstheme="majorBidi"/>
          <w:sz w:val="24"/>
          <w:szCs w:val="24"/>
        </w:rPr>
        <w:t>.</w:t>
      </w:r>
      <w:r>
        <w:rPr>
          <w:rFonts w:asciiTheme="majorBidi" w:hAnsiTheme="majorBidi" w:cstheme="majorBidi"/>
          <w:sz w:val="24"/>
          <w:szCs w:val="24"/>
        </w:rPr>
        <w:t xml:space="preserve"> The pope often interprets laws by his comments on them in non-legislative texts, such as allocutions to the Roman Rota. Although these interpretations have great doctrinal value, they are not authentic interpretations of the law.</w:t>
      </w:r>
    </w:p>
    <w:p w:rsidR="008218AF" w:rsidRDefault="008218AF" w:rsidP="008218AF">
      <w:pPr>
        <w:spacing w:after="120" w:line="240" w:lineRule="exact"/>
        <w:jc w:val="both"/>
        <w:rPr>
          <w:rFonts w:asciiTheme="majorBidi" w:hAnsiTheme="majorBidi" w:cstheme="majorBidi"/>
          <w:b/>
          <w:bCs/>
          <w:sz w:val="24"/>
          <w:szCs w:val="24"/>
        </w:rPr>
      </w:pPr>
    </w:p>
    <w:p w:rsidR="008218AF" w:rsidRDefault="008218AF" w:rsidP="008218AF">
      <w:pPr>
        <w:spacing w:after="120" w:line="240" w:lineRule="exact"/>
        <w:jc w:val="both"/>
        <w:rPr>
          <w:rFonts w:asciiTheme="majorBidi" w:hAnsiTheme="majorBidi" w:cstheme="majorBidi"/>
          <w:b/>
          <w:bCs/>
          <w:sz w:val="24"/>
          <w:szCs w:val="24"/>
        </w:rPr>
      </w:pPr>
      <w:r>
        <w:rPr>
          <w:rFonts w:asciiTheme="majorBidi" w:hAnsiTheme="majorBidi" w:cstheme="majorBidi"/>
          <w:b/>
          <w:bCs/>
          <w:sz w:val="24"/>
          <w:szCs w:val="24"/>
        </w:rPr>
        <w:t>Can. 17: Rules for Interpretations</w:t>
      </w:r>
    </w:p>
    <w:p w:rsidR="008218AF" w:rsidRDefault="008218AF" w:rsidP="008218AF">
      <w:pPr>
        <w:spacing w:after="120" w:line="240" w:lineRule="exact"/>
        <w:jc w:val="both"/>
        <w:rPr>
          <w:rFonts w:asciiTheme="majorBidi" w:hAnsiTheme="majorBidi" w:cstheme="majorBidi"/>
          <w:b/>
          <w:bCs/>
          <w:sz w:val="24"/>
          <w:szCs w:val="24"/>
        </w:rPr>
      </w:pPr>
    </w:p>
    <w:p w:rsidR="008218AF" w:rsidRPr="00D60C55" w:rsidRDefault="008218AF" w:rsidP="008218AF">
      <w:pPr>
        <w:spacing w:after="120" w:line="240" w:lineRule="exact"/>
        <w:jc w:val="both"/>
        <w:rPr>
          <w:rFonts w:asciiTheme="majorBidi" w:hAnsiTheme="majorBidi" w:cstheme="majorBidi"/>
          <w:sz w:val="24"/>
          <w:szCs w:val="24"/>
        </w:rPr>
      </w:pPr>
      <w:r w:rsidRPr="00D60C55">
        <w:rPr>
          <w:rFonts w:asciiTheme="majorBidi" w:hAnsiTheme="majorBidi" w:cstheme="majorBidi"/>
          <w:sz w:val="24"/>
          <w:szCs w:val="24"/>
        </w:rPr>
        <w:t>Canonical tradition holds in high regard, not only official interpretation by legislators, judges, and administrators, but also the private interpretation of canon law by scholars, which is called doctrinal interpretation. The rules of this canon, as well as those of canons 18 and 19, apply to everyone interpreting canon law-church officials, scholars, and practitioners of the law.</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The interpretation of an eccl. Law begins with understanding the proper meaning of the key words of the legal text. The “proper meaning”  is the way the word or phrase is understood in the canonical tradition-in the practice of the Church and the writings of the “doctors”, the canonical scholars. Many canonical words and expressions have a standard, technical meaning that is familiar to canonists but is often not evident to others.</w:t>
      </w:r>
    </w:p>
    <w:p w:rsidR="008218AF" w:rsidRPr="0086205E" w:rsidRDefault="008218AF" w:rsidP="008218AF">
      <w:pPr>
        <w:spacing w:after="120" w:line="240" w:lineRule="exact"/>
        <w:jc w:val="both"/>
        <w:rPr>
          <w:rFonts w:asciiTheme="majorBidi" w:hAnsiTheme="majorBidi" w:cstheme="majorBidi"/>
          <w:b/>
          <w:sz w:val="24"/>
          <w:szCs w:val="24"/>
        </w:rPr>
      </w:pPr>
      <w:r w:rsidRPr="0086205E">
        <w:rPr>
          <w:rFonts w:asciiTheme="majorBidi" w:hAnsiTheme="majorBidi" w:cstheme="majorBidi"/>
          <w:b/>
          <w:sz w:val="24"/>
          <w:szCs w:val="24"/>
        </w:rPr>
        <w:t>Text and Context</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The proper meaning of the words is not usually determined solely by examining the text of the law in isolation; the text must be seen in relation to other statements that make up the context of the law. The context refers to related texts in the same book, document, or section in which the law is published, for example, the article, chapter, title, part, or book of the code in which a canon is found, or the introductory section of certain juridical documents that briefly provides the historical context, theoretical underpinnings, and rational for the norm that follow. The context may often clarify the law’s purpose and the way it functions in relationship to other laws surrounding it. By examining this context, the interpreter is better able to grasp the meaning of the key words and phrases of the law, which leads to its correct understanding and application.</w:t>
      </w:r>
    </w:p>
    <w:p w:rsidR="008218AF" w:rsidRDefault="008218AF" w:rsidP="008218AF">
      <w:pPr>
        <w:spacing w:after="120" w:line="240" w:lineRule="exact"/>
        <w:jc w:val="both"/>
        <w:rPr>
          <w:rFonts w:asciiTheme="majorBidi" w:hAnsiTheme="majorBidi" w:cstheme="majorBidi"/>
          <w:sz w:val="24"/>
          <w:szCs w:val="24"/>
        </w:rPr>
      </w:pPr>
    </w:p>
    <w:p w:rsidR="008218AF" w:rsidRPr="0086205E" w:rsidRDefault="008218AF" w:rsidP="008218AF">
      <w:pPr>
        <w:spacing w:after="120" w:line="240" w:lineRule="exact"/>
        <w:jc w:val="both"/>
        <w:rPr>
          <w:rFonts w:asciiTheme="majorBidi" w:hAnsiTheme="majorBidi" w:cstheme="majorBidi"/>
          <w:b/>
          <w:sz w:val="24"/>
          <w:szCs w:val="24"/>
        </w:rPr>
      </w:pPr>
      <w:r w:rsidRPr="0086205E">
        <w:rPr>
          <w:rFonts w:asciiTheme="majorBidi" w:hAnsiTheme="majorBidi" w:cstheme="majorBidi"/>
          <w:b/>
          <w:sz w:val="24"/>
          <w:szCs w:val="24"/>
        </w:rPr>
        <w:t>Parallel Places</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If the meaning of the law is not clear from the text and its context, the canon directs the interpreter of the law to make recourse to parallel places if they exist, to the purpose and circumstances of the law, and to the mind of the legislator. Actually, these additional steps are a necessary part of any thorough, scholarly interpretation of law. While examining the text and context of a law is usually sufficient for applying the law in practical situations, the process delineated in the second sentence of the canon is always necessary for good doctrinal interpretation. This more thorough examination and explanation of the law is illuminating even if the law’s meaning is not doubtful and obscure.</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The first means given for acquiring a deeper understanding of the law is to look for any parallel places where the matter is treated in juridical texts. These would be norms given elsewhere that treat the same subject or make use of the same rule or principle as that of the law at hand. Consulting the Eastern code to see how it treats a subject in the Latin code is often helpful, because they might be certain differences, as well as similarities, that may shed fuller light on the meaning of the Latin canon. Such parallel passages may also be found in juridical documents other than the two codes. For example, in reference to many canons of Book IV, parallel passages exist in the liturgical books, in the Constitution on the Liturgy of Vatican II, and in postconciliar documents.</w:t>
      </w:r>
    </w:p>
    <w:p w:rsidR="008218AF" w:rsidRPr="00132B21" w:rsidRDefault="008218AF" w:rsidP="008218AF">
      <w:pPr>
        <w:spacing w:after="120" w:line="240" w:lineRule="exact"/>
        <w:jc w:val="both"/>
        <w:rPr>
          <w:rFonts w:asciiTheme="majorBidi" w:hAnsiTheme="majorBidi" w:cstheme="majorBidi"/>
          <w:b/>
          <w:bCs/>
          <w:sz w:val="24"/>
          <w:szCs w:val="24"/>
        </w:rPr>
      </w:pPr>
      <w:r w:rsidRPr="00132B21">
        <w:rPr>
          <w:rFonts w:asciiTheme="majorBidi" w:hAnsiTheme="majorBidi" w:cstheme="majorBidi"/>
          <w:b/>
          <w:bCs/>
          <w:sz w:val="24"/>
          <w:szCs w:val="24"/>
        </w:rPr>
        <w:t>Purpose of Law (Ratio legis)</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Another means of interpreting the law is to seek to uncover the purpose of the law 9ratio legis). Each law has a specific purpose, besides the overarching purpose of canon law itself, which is the spiritual welfare of the faithful, the salus animarum (cf. 1752). Often, however, the purpose of the law is only implicit and requires reflection on the law and its relation to its context, the legal system as a whole, and/or the very mission of the Church. Some authors refer to the purpose of the law as the value behind the law, the good that the law seeks to accomplish. If the interpreter can correctly apprehend the value of the law, the understanding of the law is enriched. The values might be theological, moral, philosophical, sociological or strictly legal.  (Purpose of the law on the impediment of disparity of cult, c.1086).</w:t>
      </w:r>
    </w:p>
    <w:p w:rsidR="008218AF" w:rsidRDefault="008218AF" w:rsidP="008218AF">
      <w:pPr>
        <w:spacing w:after="120" w:line="240" w:lineRule="exact"/>
        <w:jc w:val="both"/>
        <w:rPr>
          <w:rFonts w:asciiTheme="majorBidi" w:hAnsiTheme="majorBidi" w:cstheme="majorBidi"/>
          <w:b/>
          <w:bCs/>
          <w:sz w:val="24"/>
          <w:szCs w:val="24"/>
        </w:rPr>
      </w:pPr>
      <w:r w:rsidRPr="00041426">
        <w:rPr>
          <w:rFonts w:asciiTheme="majorBidi" w:hAnsiTheme="majorBidi" w:cstheme="majorBidi"/>
          <w:b/>
          <w:bCs/>
          <w:sz w:val="24"/>
          <w:szCs w:val="24"/>
        </w:rPr>
        <w:t>Circumstances of the Law</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b/>
          <w:bCs/>
          <w:sz w:val="24"/>
          <w:szCs w:val="24"/>
        </w:rPr>
        <w:t xml:space="preserve">The circumstances of the law </w:t>
      </w:r>
      <w:r>
        <w:rPr>
          <w:rFonts w:asciiTheme="majorBidi" w:hAnsiTheme="majorBidi" w:cstheme="majorBidi"/>
          <w:sz w:val="24"/>
          <w:szCs w:val="24"/>
        </w:rPr>
        <w:t>are the relevant historical facts that led to the immediate creation of the law, and, if the law is being restated or modified later, the circumstances at that time. Investigation of the circumstances takes the interpreter into the field of history, especially church history. The circumstance include the political, social, and ecclesial factors and the influences relevant to the making of the law. This might involve study of the law’s remote history, discussions about the matter at Vatican II, postconciliar developments, and the various drafs of the law before its most recent promulgation. Knowing such facts and circumstances will often shed light on the law’s purpose and meaning.</w:t>
      </w:r>
    </w:p>
    <w:p w:rsidR="008218AF" w:rsidRDefault="008218AF" w:rsidP="008218AF">
      <w:pPr>
        <w:spacing w:after="120" w:line="240" w:lineRule="exact"/>
        <w:jc w:val="both"/>
        <w:rPr>
          <w:rFonts w:asciiTheme="majorBidi" w:hAnsiTheme="majorBidi" w:cstheme="majorBidi"/>
          <w:b/>
          <w:bCs/>
          <w:sz w:val="24"/>
          <w:szCs w:val="24"/>
        </w:rPr>
      </w:pPr>
      <w:r w:rsidRPr="00CF6E35">
        <w:rPr>
          <w:rFonts w:asciiTheme="majorBidi" w:hAnsiTheme="majorBidi" w:cstheme="majorBidi"/>
          <w:b/>
          <w:bCs/>
          <w:sz w:val="24"/>
          <w:szCs w:val="24"/>
        </w:rPr>
        <w:t>The mind of the legislator</w:t>
      </w:r>
      <w:r>
        <w:rPr>
          <w:rFonts w:asciiTheme="majorBidi" w:hAnsiTheme="majorBidi" w:cstheme="majorBidi"/>
          <w:b/>
          <w:bCs/>
          <w:sz w:val="24"/>
          <w:szCs w:val="24"/>
        </w:rPr>
        <w:t xml:space="preserve"> (Mens legislatoris)</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This does not mean the subjective mind of the legislator or his successor—what he inwardly thinks or wills – because that is largely unknowable and even irrelevant. It is the objective text of the law that must be observed, not what anyone presumes the legislator might have been thinking when he made the law. The mind of the legislator does not refer to a human mind at all. Instead, it is a construct, an “institutional figure” signifying the whole institution of law itself----the canonical system-especially the basic rules, values, and principles that underlie and support it. For instance, the fundamental principle that laws must be interpreted in such a way that they do not result in any thing unjust or absurd, which is contrary to the nature of the law as an ordinance of reason; the principle that beneficial laws should be broadly interpreted and burdensome laws strictly interpreted; the rule of canonical equity; the role of custom; etc. Knowing this “mind of the legislator” takes considerable study and experience in the field of canon law, and it also requires knowledge of related disciplines, such as ecclesiology and moral theology.</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The rules of interpretation in canon 17 are not the only ones observed by canonists. Other commonly used means of enriching the understanding of the law and its function and purpose include consideration of the canonical tradition (c. 6, 2), pertinent customs (cc. 19, 27), general principles of law, the jurisprudence and practice of the Roman Curia, and the constant and common opinion of learned persons.</w:t>
      </w:r>
    </w:p>
    <w:p w:rsidR="008218AF" w:rsidRPr="009C7473" w:rsidRDefault="008218AF" w:rsidP="008218AF">
      <w:pPr>
        <w:spacing w:after="120" w:line="240" w:lineRule="exact"/>
        <w:jc w:val="both"/>
        <w:rPr>
          <w:rFonts w:asciiTheme="majorBidi" w:hAnsiTheme="majorBidi" w:cstheme="majorBidi"/>
          <w:sz w:val="24"/>
          <w:szCs w:val="24"/>
        </w:rPr>
      </w:pPr>
    </w:p>
    <w:p w:rsidR="008218AF" w:rsidRPr="00041426" w:rsidRDefault="008218AF" w:rsidP="008218AF">
      <w:pPr>
        <w:spacing w:after="120" w:line="240" w:lineRule="exact"/>
        <w:jc w:val="both"/>
        <w:rPr>
          <w:rFonts w:asciiTheme="majorBidi" w:hAnsiTheme="majorBidi" w:cstheme="majorBidi"/>
          <w:sz w:val="24"/>
          <w:szCs w:val="24"/>
        </w:rPr>
      </w:pPr>
    </w:p>
    <w:p w:rsidR="008218AF" w:rsidRDefault="008218AF" w:rsidP="008218AF">
      <w:pPr>
        <w:spacing w:after="120" w:line="240" w:lineRule="exact"/>
        <w:jc w:val="both"/>
        <w:rPr>
          <w:rFonts w:asciiTheme="majorBidi" w:hAnsiTheme="majorBidi" w:cstheme="majorBidi"/>
          <w:b/>
          <w:bCs/>
          <w:sz w:val="24"/>
          <w:szCs w:val="24"/>
        </w:rPr>
      </w:pPr>
      <w:r>
        <w:rPr>
          <w:rFonts w:asciiTheme="majorBidi" w:hAnsiTheme="majorBidi" w:cstheme="majorBidi"/>
          <w:b/>
          <w:bCs/>
          <w:sz w:val="24"/>
          <w:szCs w:val="24"/>
        </w:rPr>
        <w:t>Can. 18: Strict Interpretations</w:t>
      </w:r>
    </w:p>
    <w:p w:rsidR="008218AF" w:rsidRDefault="008218AF" w:rsidP="008218AF">
      <w:pPr>
        <w:spacing w:after="120" w:line="240" w:lineRule="exact"/>
        <w:jc w:val="both"/>
        <w:rPr>
          <w:rFonts w:asciiTheme="majorBidi" w:hAnsiTheme="majorBidi" w:cstheme="majorBidi"/>
          <w:sz w:val="24"/>
          <w:szCs w:val="24"/>
        </w:rPr>
      </w:pPr>
      <w:r w:rsidRPr="00676FA2">
        <w:rPr>
          <w:rFonts w:asciiTheme="majorBidi" w:hAnsiTheme="majorBidi" w:cstheme="majorBidi"/>
          <w:sz w:val="24"/>
          <w:szCs w:val="24"/>
        </w:rPr>
        <w:t>Strict and broad interpretation do not change the law’s meaning in any way. Strict interpretation limits the law’s application to the minimum stated in the law; broad interpretation widens the application to all possible cases that can fall within its meaning. Broad interpretation is normative when a law is favorable; strict interpretation is required when a law is “odious”, namely, in the three instances mentioned in this canon. This follows from the long-standing canonical principle that odious matters are tobe restricted and favours amplified: Odia restringi, et favores convenit ampliari. RI 15. ( Restrictive and broad interpretation of can. 654, 646, 670.</w:t>
      </w:r>
    </w:p>
    <w:p w:rsidR="008218AF"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Penal laws are those for whose violation the law prescribes penalty (for instance 1364-1399). Stirct interpretation of penal law is necessary to protect the rights of persons, including those who have committed or been accused of crime. A judge or superior cannot penalize someone for an offence that is not a crime in canon law, nor impose a harsher penalty than the law itself establishes. The crime must be gravely imputable by reason of malice or culpability and be committed exactly as stated in the law before the offender is subject to a penalty (c. 1321). For example, th crime of abortion is subject to the penalty of latae sententiae (automatic) excommunication (c. 1398), but an attempted abortion, though sinful, is not a crime.</w:t>
      </w:r>
    </w:p>
    <w:p w:rsidR="008218AF" w:rsidRPr="00676FA2" w:rsidRDefault="008218AF" w:rsidP="008218AF">
      <w:pPr>
        <w:spacing w:after="120" w:line="240" w:lineRule="exact"/>
        <w:jc w:val="both"/>
        <w:rPr>
          <w:rFonts w:asciiTheme="majorBidi" w:hAnsiTheme="majorBidi" w:cstheme="majorBidi"/>
          <w:sz w:val="24"/>
          <w:szCs w:val="24"/>
        </w:rPr>
      </w:pPr>
      <w:r>
        <w:rPr>
          <w:rFonts w:asciiTheme="majorBidi" w:hAnsiTheme="majorBidi" w:cstheme="majorBidi"/>
          <w:sz w:val="24"/>
          <w:szCs w:val="24"/>
        </w:rPr>
        <w:t>A law that restricts the free exercise of right places one or more limitations on a right recognized in canon law, be it natural, ecclesial, or acquired. The terms of such laws are subject to strict interpretation to enable maximal exercise of personal rights with the letter of the law. For example, all the faithful have a right to receive Holy Communion (cc. 213, 912). To restrict this right, there must be a clear basis in law ( see cc. 843, 1; 844; 913 – 919; 1331, 1, 2o; 1332) or the right is unlawfully denied. Thus, pastprs are not free to extend to parents the requirement of preparation of children for the sacrament (c. 913, 1), and unlawfully deny the sacrament to children whose parents do not participate. Likewise, persons may not be denied the Eucharist whenever the minister considers them unworthy, but there must be positive prof that all the terms of the law have been met: (1) they have committed an objectively grave sin that (2) is manifest, and (3) they obstinately (after a warning) continue to commit the sin (c. 915) Laws subject to strict interpretations are: cc. 13, 2; 171 -172; 194, 12o-3o; 643; 656; 694, 1; 823, 1; 874, 1, 3o; 1041-1044; 1078, 2; 1083-1094; 1095; 1117; 1252; 1741). Laws subject to broad interpretation: cc. 230, 3; 844, 2-4; 884,1; 961, 1; 116, 1; 1127, 2; 1206; 1352, 1.</w:t>
      </w:r>
    </w:p>
    <w:p w:rsidR="008218AF" w:rsidRPr="008218AF" w:rsidRDefault="008218AF" w:rsidP="008218AF">
      <w:pPr>
        <w:tabs>
          <w:tab w:val="left" w:pos="5220"/>
        </w:tabs>
        <w:rPr>
          <w:rFonts w:asciiTheme="majorBidi" w:hAnsiTheme="majorBidi" w:cstheme="majorBidi"/>
          <w:sz w:val="24"/>
          <w:szCs w:val="24"/>
        </w:rPr>
      </w:pPr>
    </w:p>
    <w:p w:rsidR="00C34712" w:rsidRDefault="00C34712"/>
    <w:sectPr w:rsidR="00C34712" w:rsidSect="00E265E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0E6" w:rsidRDefault="00FE70E6">
      <w:pPr>
        <w:spacing w:after="0" w:line="240" w:lineRule="auto"/>
      </w:pPr>
      <w:r>
        <w:separator/>
      </w:r>
    </w:p>
  </w:endnote>
  <w:endnote w:type="continuationSeparator" w:id="0">
    <w:p w:rsidR="00FE70E6" w:rsidRDefault="00FE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794063"/>
      <w:docPartObj>
        <w:docPartGallery w:val="Page Numbers (Bottom of Page)"/>
        <w:docPartUnique/>
      </w:docPartObj>
    </w:sdtPr>
    <w:sdtEndPr/>
    <w:sdtContent>
      <w:p w:rsidR="00B26930" w:rsidRDefault="008218AF">
        <w:pPr>
          <w:pStyle w:val="Footer"/>
          <w:jc w:val="center"/>
        </w:pPr>
        <w:r>
          <w:fldChar w:fldCharType="begin"/>
        </w:r>
        <w:r>
          <w:instrText xml:space="preserve"> PAGE   \* MERGEFORMAT </w:instrText>
        </w:r>
        <w:r>
          <w:fldChar w:fldCharType="separate"/>
        </w:r>
        <w:r w:rsidR="00E803DE">
          <w:rPr>
            <w:noProof/>
          </w:rPr>
          <w:t>1</w:t>
        </w:r>
        <w:r>
          <w:rPr>
            <w:noProof/>
          </w:rPr>
          <w:fldChar w:fldCharType="end"/>
        </w:r>
      </w:p>
    </w:sdtContent>
  </w:sdt>
  <w:p w:rsidR="00B26930" w:rsidRDefault="00E803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0E6" w:rsidRDefault="00FE70E6">
      <w:pPr>
        <w:spacing w:after="0" w:line="240" w:lineRule="auto"/>
      </w:pPr>
      <w:r>
        <w:separator/>
      </w:r>
    </w:p>
  </w:footnote>
  <w:footnote w:type="continuationSeparator" w:id="0">
    <w:p w:rsidR="00FE70E6" w:rsidRDefault="00FE70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C65B23"/>
    <w:multiLevelType w:val="hybridMultilevel"/>
    <w:tmpl w:val="B3B8201E"/>
    <w:lvl w:ilvl="0" w:tplc="98E862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BF353F4"/>
    <w:multiLevelType w:val="hybridMultilevel"/>
    <w:tmpl w:val="3F74D3F6"/>
    <w:lvl w:ilvl="0" w:tplc="25CEC5C8">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FF"/>
    <w:rsid w:val="000240A2"/>
    <w:rsid w:val="001672E5"/>
    <w:rsid w:val="0021782A"/>
    <w:rsid w:val="0029568B"/>
    <w:rsid w:val="006676E2"/>
    <w:rsid w:val="007676CD"/>
    <w:rsid w:val="008218AF"/>
    <w:rsid w:val="008253A9"/>
    <w:rsid w:val="0093080E"/>
    <w:rsid w:val="00B740F5"/>
    <w:rsid w:val="00BC1DF3"/>
    <w:rsid w:val="00C34712"/>
    <w:rsid w:val="00E574D5"/>
    <w:rsid w:val="00E803DE"/>
    <w:rsid w:val="00EE6EFF"/>
    <w:rsid w:val="00F72F37"/>
    <w:rsid w:val="00FE70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B70CE-6EC9-4EBF-8479-713D0A69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F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EFF"/>
    <w:pPr>
      <w:ind w:left="720"/>
      <w:contextualSpacing/>
    </w:pPr>
  </w:style>
  <w:style w:type="paragraph" w:styleId="Footer">
    <w:name w:val="footer"/>
    <w:basedOn w:val="Normal"/>
    <w:link w:val="FooterChar"/>
    <w:uiPriority w:val="99"/>
    <w:unhideWhenUsed/>
    <w:rsid w:val="00EE6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EFF"/>
  </w:style>
  <w:style w:type="paragraph" w:styleId="BalloonText">
    <w:name w:val="Balloon Text"/>
    <w:basedOn w:val="Normal"/>
    <w:link w:val="BalloonTextChar"/>
    <w:uiPriority w:val="99"/>
    <w:semiHidden/>
    <w:unhideWhenUsed/>
    <w:rsid w:val="00930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8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2414</Words>
  <Characters>13764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2020-10-26T11:54:00Z</cp:lastPrinted>
  <dcterms:created xsi:type="dcterms:W3CDTF">2020-10-27T09:40:00Z</dcterms:created>
  <dcterms:modified xsi:type="dcterms:W3CDTF">2020-10-27T09:40:00Z</dcterms:modified>
</cp:coreProperties>
</file>