
<file path=[Content_Types].xml><?xml version="1.0" encoding="utf-8"?>
<Types xmlns="http://schemas.openxmlformats.org/package/2006/content-types">
  <Default Extension="bin" ContentType="application/vnd.openxmlformats-officedocument.oleObject"/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">
  <w:body>
    <w:p>
      <w:pPr>
        <w:numPr>
          <w:ilvl w:val="0"/>
          <w:numId w:val="0"/>
        </w:numPr>
        <w:jc w:val="center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SUMMARY ON THE AUTHORSHIP OF GOSPEL OF MATTHEW </w:t>
      </w:r>
    </w:p>
    <w:p>
      <w:pPr>
        <w:numPr>
          <w:ilvl w:val="0"/>
          <w:numId w:val="0"/>
        </w:numPr>
        <w:jc w:val="both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BY </w:t>
      </w:r>
    </w:p>
    <w:p>
      <w:pPr>
        <w:numPr>
          <w:ilvl w:val="0"/>
          <w:numId w:val="0"/>
        </w:numPr>
        <w:jc w:val="both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Group One (1)</w:t>
      </w:r>
    </w:p>
    <w:p>
      <w:pPr>
        <w:numPr>
          <w:ilvl w:val="0"/>
          <w:numId w:val="0"/>
        </w:numPr>
        <w:jc w:val="both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ABOAGYE ERIC (L)  DI/907</w:t>
      </w:r>
    </w:p>
    <w:p>
      <w:pPr>
        <w:numPr>
          <w:ilvl w:val="0"/>
          <w:numId w:val="0"/>
        </w:numPr>
        <w:jc w:val="center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DURU EMMANUEL DI/915</w:t>
      </w:r>
    </w:p>
    <w:p>
      <w:pPr>
        <w:numPr>
          <w:ilvl w:val="0"/>
          <w:numId w:val="0"/>
        </w:numPr>
        <w:jc w:val="center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FRANCISCO MANUEL DI871</w:t>
      </w:r>
    </w:p>
    <w:p>
      <w:pPr>
        <w:numPr>
          <w:ilvl w:val="0"/>
          <w:numId w:val="0"/>
        </w:numPr>
        <w:jc w:val="center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OKAFOR NONSO FELIX DI/883</w:t>
      </w:r>
    </w:p>
    <w:p>
      <w:pPr>
        <w:numPr>
          <w:ilvl w:val="0"/>
          <w:numId w:val="0"/>
        </w:numPr>
        <w:jc w:val="center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EBERECHUKWU MARYKIZITO DI/859</w:t>
      </w:r>
    </w:p>
    <w:p>
      <w:pPr>
        <w:numPr>
          <w:ilvl w:val="0"/>
          <w:numId w:val="0"/>
        </w:numPr>
        <w:jc w:val="center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AKWUBO JOHNPAUL DI/909</w:t>
      </w:r>
    </w:p>
    <w:p>
      <w:pPr>
        <w:numPr>
          <w:ilvl w:val="0"/>
          <w:numId w:val="0"/>
        </w:numPr>
        <w:jc w:val="center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MBAME BORIS DI/854</w:t>
      </w:r>
    </w:p>
    <w:p>
      <w:pPr>
        <w:numPr>
          <w:ilvl w:val="0"/>
          <w:numId w:val="0"/>
        </w:numPr>
        <w:jc w:val="both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Being a Term Paper Submitted to the Department of Theology of the</w:t>
      </w:r>
    </w:p>
    <w:p>
      <w:pPr>
        <w:numPr>
          <w:ilvl w:val="0"/>
          <w:numId w:val="0"/>
        </w:numPr>
        <w:jc w:val="center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 Dominican Institute in partial fulfilment for the course:</w:t>
      </w:r>
    </w:p>
    <w:p>
      <w:pPr>
        <w:numPr>
          <w:ilvl w:val="0"/>
          <w:numId w:val="0"/>
        </w:numPr>
        <w:jc w:val="both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GOSPEL ACCORDING TO MATTHEW (TH 312)</w:t>
      </w:r>
    </w:p>
    <w:p>
      <w:pPr>
        <w:numPr>
          <w:ilvl w:val="0"/>
          <w:numId w:val="0"/>
        </w:numPr>
        <w:jc w:val="center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left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LECTURER: REV. FR. PROF. GILBERT MUNANA OP. </w:t>
      </w:r>
    </w:p>
    <w:p>
      <w:pPr>
        <w:numPr>
          <w:ilvl w:val="0"/>
          <w:numId w:val="0"/>
        </w:numPr>
        <w:jc w:val="center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    </w:t>
      </w:r>
    </w:p>
    <w:p>
      <w:pPr>
        <w:numPr>
          <w:ilvl w:val="0"/>
          <w:numId w:val="0"/>
        </w:numPr>
        <w:jc w:val="center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left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SAMONDA, IBADAN</w:t>
      </w:r>
    </w:p>
    <w:p>
      <w:pPr>
        <w:numPr>
          <w:ilvl w:val="0"/>
          <w:numId w:val="0"/>
        </w:numPr>
        <w:jc w:val="center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left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left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MARCH, 2021</w:t>
      </w:r>
    </w:p>
    <w:p>
      <w:pPr>
        <w:numPr>
          <w:ilvl w:val="0"/>
          <w:numId w:val="0"/>
        </w:numPr>
        <w:jc w:val="both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left="-360" w:right="-334" w:firstLine="0"/>
        <w:rPr>
          <w:i w:val="1"/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In discussing the evidence for the authorship of the books of the New Testament, one must also deal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with the issue of canonicity since apostolic authority was one of the primary conditions for a book to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be accepted into the biblical canon of the early church. However, the question is, does the first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Gospel name its author? The universal testimony of the early church is that the apostle Matthew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wrote it, and our earliest textual witnesses attribute it to him </w:t>
      </w:r>
      <w:r>
        <w:rPr>
          <w:i w:val="1"/>
          <w:color w:val="auto"/>
          <w:sz w:val="24"/>
          <w:szCs w:val="24"/>
          <w:rFonts w:ascii="Times New Roman" w:eastAsia="Times New Roman" w:hAnsi="Times New Roman" w:hint="default"/>
        </w:rPr>
        <w:t xml:space="preserve">(KATA MATTHAION).</w:t>
      </w:r>
    </w:p>
    <w:p>
      <w:pPr>
        <w:numPr>
          <w:ilvl w:val="0"/>
          <w:numId w:val="0"/>
        </w:numPr>
        <w:jc w:val="both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Modern literary criticism offers many reasons for rejecting Mt's authorship. They argue that, if the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two-source hypothesis is correct, then it is unlikely that the eyewitness and apostle Matthew would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depend so heavily on a document written either by Mark, who was neither an apostle or (for most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events)by an eyewitness. Moreover the reconstructions of canonical Matthew's life-setting, fostered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by redaction criticism, converge on A.D. 80--100 in some kind of savage Jewish-Christian conflict.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This is probably a trifle late to assume Matthew's authorship; and the details of the reconstructed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settings discourage the notion. Scholars like Kiimmel argue further than "the systematic and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therefore nonbiographical form of the structure of Mt, the late-apostolic theological position and the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Greek language of Mt make this proposal completely impossible." He concludes that the identity of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the first evangelist is unknown to us but that he must have been a Greek-speaking Jewish Christian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with some rabbinic knowledge, who depended on "a form of the Jesus tradition which potently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accommodated the sayings of Jesus to Jewish viewpoints". These reasons for rejecting Matthew's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authorship are widely accepted today.</w:t>
      </w:r>
    </w:p>
    <w:p>
      <w:pPr>
        <w:numPr>
          <w:ilvl w:val="0"/>
          <w:numId w:val="0"/>
        </w:numPr>
        <w:jc w:val="both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Nevertheless, alternate proposals have sprung up. Kilpatrick suggests that the early patristic tradition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connecting the first Gospel with Matthew arose as a conscious community pseudonym by the church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that wrote the Gospel, in order to gain acceptance and authority for it. Abel argues that Matthew's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extra material is so confused and contradictory that we must assume it represents the efforts of two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separate individuals working independently of each other. Several redaction-critical studies have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denied that the author was a Jew, feeling that the antipathy exhibited toward Jesus in this Gospel and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the ignorance of Jewish life are so deep that the writer must have been a Gentile Christian. But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according to Hill, </w:t>
      </w:r>
      <w:r>
        <w:rPr>
          <w:i w:val="1"/>
          <w:color w:val="auto"/>
          <w:sz w:val="24"/>
          <w:szCs w:val="24"/>
          <w:rFonts w:ascii="Times New Roman" w:eastAsia="Times New Roman" w:hAnsi="Times New Roman" w:hint="default"/>
        </w:rPr>
        <w:t>Matthew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, those who think Papias was referring to Q or to some other source used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by Matthew are often prepared to say that the apostle composed the source if not the Gospel.</w:t>
      </w:r>
    </w:p>
    <w:p>
      <w:pPr>
        <w:numPr>
          <w:ilvl w:val="0"/>
          <w:numId w:val="0"/>
        </w:numPr>
        <w:jc w:val="both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On contrary, there are several other theories which posited that, if Matthew thought Mark's account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reliable and generally suited to his purposes (and he may also have known that Peter stood behind it),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there can be no objection to the view that an apostle depended on a nonapostolic document. Hence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Kiimmel's rejection of Matthew's authorship on the grounds that this Gospel is "systematic and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therefore nonbiographical"</w:t>
      </w:r>
      <w:r>
        <w:rPr>
          <w:i w:val="1"/>
          <w:color w:val="auto"/>
          <w:sz w:val="24"/>
          <w:szCs w:val="24"/>
          <w:rFonts w:ascii="Times New Roman" w:eastAsia="Times New Roman" w:hAnsi="Times New Roman" w:hint="default"/>
        </w:rPr>
        <w:t xml:space="preserve">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is a non sequitur because (1) a topically ordered account can yield</w:t>
      </w:r>
      <w:r>
        <w:rPr>
          <w:i w:val="1"/>
          <w:color w:val="auto"/>
          <w:sz w:val="24"/>
          <w:szCs w:val="24"/>
          <w:rFonts w:ascii="Times New Roman" w:eastAsia="Times New Roman" w:hAnsi="Times New Roman" w:hint="default"/>
        </w:rPr>
        <w:t xml:space="preserve">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biographical facts as easily as a strictly chronological account, and (2) Kiimmel</w:t>
      </w:r>
      <w:r>
        <w:rPr>
          <w:i w:val="1"/>
          <w:color w:val="auto"/>
          <w:sz w:val="24"/>
          <w:szCs w:val="24"/>
          <w:rFonts w:ascii="Times New Roman" w:eastAsia="Times New Roman" w:hAnsi="Times New Roman" w:hint="default"/>
        </w:rPr>
        <w:t xml:space="preserve">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wrongly supposes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that apostolicity is for some reason incapable of choosing anything</w:t>
      </w:r>
      <w:r>
        <w:rPr>
          <w:i w:val="1"/>
          <w:color w:val="auto"/>
          <w:sz w:val="24"/>
          <w:szCs w:val="24"/>
          <w:rFonts w:ascii="Times New Roman" w:eastAsia="Times New Roman" w:hAnsi="Times New Roman" w:hint="default"/>
        </w:rPr>
        <w:t xml:space="preserve">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other than a chronological form.</w:t>
      </w:r>
    </w:p>
    <w:p>
      <w:pPr>
        <w:numPr>
          <w:ilvl w:val="0"/>
          <w:numId w:val="0"/>
        </w:numPr>
        <w:jc w:val="both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The alleged lateness of the theological position may be disputed at every point. Those who argue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that the author could not have been a Jew, let alone an apostle, allege serious ignorance of Jewish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life, including inability to distinguish between the doctrines of the Pharisees and the Sadducees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(16:12) or, worse, thinking that the Sadducees were still an active force after 70 (22:23). But the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second of these A.D. two passages has synoptic parallels (Mark 12:18; Luke 20:27; here Matthew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has interpreted Mark's verb as a historical present); and neither Matthean passage denies that there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are differences separating Pharisees and Sadducees. This is scarcely surprising: after all, both groups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sat in the same Sanhedrin. In view of this, Kilpatrick's suggestion of a conscious community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pseudonym cannot offer any parallel. </w:t>
      </w:r>
    </w:p>
    <w:p>
      <w:pPr>
        <w:numPr>
          <w:ilvl w:val="0"/>
          <w:numId w:val="0"/>
        </w:numPr>
        <w:jc w:val="both"/>
        <w:spacing w:lineRule="auto" w:line="240" w:before="0" w:after="0"/>
        <w:ind w:left="-360" w:right="-334" w:firstLine="0"/>
        <w:rPr>
          <w:color w:val="auto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Finally, Moule's argument suggests that the link between this first Gospel and the apostle Matthew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cannot be dismissed as easily as some have thought. He further said that, none of the arguments for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Matthew's authorship is conclusive. Thus we cannot be entirely certain who the author of the first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Gospel is. But there are solid reasons in support of the early church's unanimous ascription of this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book to the apostle Matthew, and on close inspection the objections do not appear substantial.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Though Matthew's authorship remains the most defensible position, very little in this commentary </w:t>
      </w:r>
      <w:r>
        <w:rPr>
          <w:color w:val="auto"/>
          <w:sz w:val="24"/>
          <w:szCs w:val="24"/>
          <w:rFonts w:ascii="Times New Roman" w:eastAsia="Times New Roman" w:hAnsi="Times New Roman" w:hint="default"/>
        </w:rPr>
        <w:t xml:space="preserve">depends on it. Where it may have a bearing on the discussion, a cautionary notice is inserted.</w:t>
      </w:r>
    </w:p>
    <w:sectPr>
      <w:headerReference w:type="default" r:id="rId5"/>
      <w:footerReference w:type="default" r:id="rId6"/>
      <w:pgSz w:w="11906" w:h="16838"/>
      <w:pgMar w:top="1440" w:left="1440" w:bottom="1440" w:right="1440" w:header="708" w:footer="708" w:gutter="0"/>
      <w:pgNumType w:fmt="decimal" w:start="1"/>
      <w:docGrid w:type="default" w:linePitch="360" w:charSpace="61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anumGothic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Georgia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">
  <w:p>
    <w:pPr>
      <w:numPr>
        <w:ilvl w:val="0"/>
        <w:numId w:val="0"/>
      </w:numPr>
      <w:jc w:val="center"/>
      <w:spacing w:lineRule="auto" w:line="240" w:before="0" w:after="0"/>
      <w:pBdr>
        <w:top w:val="nil" w:sz="0" w:space="0" w:color="000000"/>
        <w:bottom w:val="nil" w:sz="0" w:space="0" w:color="000000"/>
        <w:left w:val="nil" w:sz="0" w:space="0" w:color="000000"/>
        <w:right w:val="nil" w:sz="0" w:space="0" w:color="000000"/>
        <w:between w:val="nil" w:sz="0" w:space="0" w:color="000000"/>
      </w:pBdr>
      <w:ind w:right="0" w:firstLine="0"/>
      <w:tabs>
        <w:tab w:val="center" w:pos="4513"/>
        <w:tab w:val="right" w:pos="9026"/>
      </w:tabs>
      <w:rPr>
        <w:vertAlign w:val="baseline"/>
        <w:i w:val="0"/>
        <w:b w:val="0"/>
        <w:color w:val="000000"/>
        <w:position w:val="0"/>
        <w:sz w:val="22"/>
        <w:szCs w:val="22"/>
        <w:u w:val="none"/>
        <w:smallCaps w:val="0"/>
        <w:rFonts w:ascii="Calibri" w:eastAsia="Calibri" w:hAnsi="Calibri" w:hint="default"/>
      </w:rPr>
      <w:autoSpaceDE w:val="1"/>
      <w:autoSpaceDN w:val="1"/>
    </w:pPr>
    <w:r>
      <w:rPr>
        <w:vertAlign w:val="baseline"/>
        <w:i w:val="0"/>
        <w:b w:val="0"/>
        <w:color w:val="000000"/>
        <w:position w:val="0"/>
        <w:sz w:val="22"/>
        <w:szCs w:val="22"/>
        <w:u w:val="none"/>
        <w:smallCaps w:val="0"/>
        <w:rFonts w:ascii="Calibri" w:eastAsia="Calibri" w:hAnsi="Calibri" w:hint="default"/>
      </w:rPr>
      <w:fldChar w:fldCharType="begin"/>
    </w:r>
    <w:r>
      <w:instrText>PAGE  \* MERGEFORMAT</w:instrText>
    </w:r>
    <w:r>
      <w:fldChar w:fldCharType="separate"/>
    </w:r>
    <w:r>
      <w:rPr>
        <w:vertAlign w:val="baseline"/>
        <w:i w:val="0"/>
        <w:b w:val="0"/>
        <w:color w:val="000000"/>
        <w:position w:val="0"/>
        <w:sz w:val="22"/>
        <w:szCs w:val="22"/>
        <w:u w:val="none"/>
        <w:smallCaps w:val="0"/>
        <w:rFonts w:ascii="Calibri" w:eastAsia="Calibri" w:hAnsi="Calibri" w:hint="default"/>
      </w:rPr>
      <w:t>1</w:t>
    </w:r>
    <w:r>
      <w:rPr>
        <w:vertAlign w:val="baseline"/>
        <w:i w:val="0"/>
        <w:b w:val="0"/>
        <w:color w:val="000000"/>
        <w:position w:val="0"/>
        <w:sz w:val="22"/>
        <w:szCs w:val="22"/>
        <w:u w:val="none"/>
        <w:smallCaps w:val="0"/>
        <w:rFonts w:ascii="Calibri" w:eastAsia="Calibri" w:hAnsi="Calibri" w:hint="default"/>
      </w:rPr>
      <w:fldChar w:fldCharType="end"/>
    </w:r>
  </w:p>
  <w:p>
    <w:pPr>
      <w:numPr>
        <w:ilvl w:val="0"/>
        <w:numId w:val="0"/>
      </w:numPr>
      <w:jc w:val="left"/>
      <w:spacing w:lineRule="auto" w:line="240" w:before="0" w:after="0"/>
      <w:pBdr>
        <w:top w:val="nil" w:sz="0" w:space="0" w:color="000000"/>
        <w:bottom w:val="nil" w:sz="0" w:space="0" w:color="000000"/>
        <w:left w:val="nil" w:sz="0" w:space="0" w:color="000000"/>
        <w:right w:val="nil" w:sz="0" w:space="0" w:color="000000"/>
        <w:between w:val="nil" w:sz="0" w:space="0" w:color="000000"/>
      </w:pBdr>
      <w:ind w:right="0" w:firstLine="0"/>
      <w:tabs>
        <w:tab w:val="center" w:pos="4513"/>
        <w:tab w:val="right" w:pos="9026"/>
      </w:tabs>
      <w:rPr>
        <w:vertAlign w:val="baseline"/>
        <w:i w:val="0"/>
        <w:b w:val="0"/>
        <w:color w:val="000000"/>
        <w:position w:val="0"/>
        <w:sz w:val="22"/>
        <w:szCs w:val="22"/>
        <w:u w:val="none"/>
        <w:smallCaps w:val="0"/>
        <w:rFonts w:ascii="Calibri" w:eastAsia="Calibri" w:hAnsi="Calibri" w:hint="default"/>
      </w:rPr>
      <w:autoSpaceDE w:val="1"/>
      <w:autoSpaceDN w:val="1"/>
    </w:pPr>
  </w:p>
</w:ft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">
  <w:p>
    <w:pPr>
      <w:numPr>
        <w:ilvl w:val="0"/>
        <w:numId w:val="0"/>
      </w:numPr>
      <w:jc w:val="left"/>
      <w:spacing w:lineRule="auto" w:line="240" w:before="0" w:after="0"/>
      <w:pBdr>
        <w:top w:val="nil" w:sz="0" w:space="0" w:color="000000"/>
        <w:bottom w:val="nil" w:sz="0" w:space="0" w:color="000000"/>
        <w:left w:val="nil" w:sz="0" w:space="0" w:color="000000"/>
        <w:right w:val="nil" w:sz="0" w:space="0" w:color="000000"/>
        <w:between w:val="nil" w:sz="0" w:space="0" w:color="000000"/>
      </w:pBdr>
      <w:ind w:left="-360" w:right="-334" w:firstLine="0"/>
      <w:tabs>
        <w:tab w:val="center" w:pos="4513"/>
        <w:tab w:val="right" w:pos="9026"/>
        <w:tab w:val="right" w:pos="9360"/>
      </w:tabs>
      <w:rPr>
        <w:vertAlign w:val="baseline"/>
        <w:i w:val="0"/>
        <w:b w:val="1"/>
        <w:color w:val="000000"/>
        <w:position w:val="0"/>
        <w:sz w:val="22"/>
        <w:szCs w:val="22"/>
        <w:u w:val="none"/>
        <w:smallCaps w:val="0"/>
        <w:rFonts w:ascii="Times New Roman" w:eastAsia="Times New Roman" w:hAnsi="Times New Roman" w:hint="default"/>
      </w:rPr>
      <w:autoSpaceDE w:val="1"/>
      <w:autoSpaceDN w:val="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72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compat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Calibri" w:eastAsia="Calibri" w:hAnsi="Calibri"/>
        <w:shd w:val="clear"/>
        <w:sz w:val="22"/>
        <w:szCs w:val="22"/>
        <w:w w:val="100"/>
      </w:rPr>
    </w:rPrDefault>
  </w:docDefaults>
  <w:style w:default="1" w:styleId="PO1" w:type="paragraph">
    <w:name w:val="Normal"/>
    <w:link w:val="PO-1"/>
    <w:qFormat/>
    <w:uiPriority w:val="1"/>
    <w:pPr>
      <w:jc w:val="both"/>
    </w:pPr>
    <w:rPr>
      <w:shd w:val="clear"/>
      <w:sz w:val="22"/>
      <w:szCs w:val="22"/>
      <w:w w:val="100"/>
    </w:rPr>
  </w:style>
  <w:style w:default="1" w:styleId="PO2" w:type="character">
    <w:name w:val="Default Paragraph Font"/>
    <w:qFormat/>
    <w:uiPriority w:val="2"/>
    <w:semiHidden/>
    <w:unhideWhenUsed/>
    <w:rPr>
      <w:shd w:val="clear"/>
      <w:sz w:val="22"/>
      <w:szCs w:val="22"/>
      <w:w w:val="100"/>
    </w:rPr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6" w:type="paragraph">
    <w:name w:val="Title"/>
    <w:basedOn w:val="PO152"/>
    <w:next w:val="PO152"/>
    <w:uiPriority w:val="6"/>
    <w:pPr>
      <w:autoSpaceDE w:val="1"/>
      <w:autoSpaceDN w:val="1"/>
      <w:keepLines/>
      <w:keepNext/>
      <w:widowControl/>
      <w:wordWrap/>
    </w:pPr>
    <w:rPr>
      <w:b/>
      <w:shd w:val="clear"/>
      <w:sz w:val="72"/>
      <w:szCs w:val="72"/>
      <w:w w:val="100"/>
    </w:rPr>
  </w:style>
  <w:style w:styleId="PO7" w:type="paragraph">
    <w:name w:val="heading 1"/>
    <w:basedOn w:val="PO152"/>
    <w:next w:val="PO152"/>
    <w:uiPriority w:val="7"/>
    <w:pPr>
      <w:autoSpaceDE w:val="1"/>
      <w:autoSpaceDN w:val="1"/>
      <w:keepLines/>
      <w:keepNext/>
      <w:widowControl/>
      <w:wordWrap/>
    </w:pPr>
    <w:rPr>
      <w:b/>
      <w:shd w:val="clear"/>
      <w:sz w:val="48"/>
      <w:szCs w:val="48"/>
      <w:w w:val="100"/>
    </w:rPr>
  </w:style>
  <w:style w:styleId="PO8" w:type="paragraph">
    <w:name w:val="heading 2"/>
    <w:basedOn w:val="PO152"/>
    <w:next w:val="PO152"/>
    <w:uiPriority w:val="8"/>
    <w:pPr>
      <w:autoSpaceDE w:val="1"/>
      <w:autoSpaceDN w:val="1"/>
      <w:keepLines/>
      <w:keepNext/>
      <w:widowControl/>
      <w:wordWrap/>
    </w:pPr>
    <w:rPr>
      <w:b/>
      <w:shd w:val="clear"/>
      <w:sz w:val="36"/>
      <w:szCs w:val="36"/>
      <w:w w:val="100"/>
    </w:rPr>
  </w:style>
  <w:style w:styleId="PO9" w:type="paragraph">
    <w:name w:val="heading 3"/>
    <w:basedOn w:val="PO152"/>
    <w:next w:val="PO152"/>
    <w:uiPriority w:val="9"/>
    <w:pPr>
      <w:autoSpaceDE w:val="1"/>
      <w:autoSpaceDN w:val="1"/>
      <w:keepLines/>
      <w:keepNext/>
      <w:widowControl/>
      <w:wordWrap/>
    </w:pPr>
    <w:rPr>
      <w:b/>
      <w:shd w:val="clear"/>
      <w:sz w:val="28"/>
      <w:szCs w:val="28"/>
      <w:w w:val="100"/>
    </w:rPr>
  </w:style>
  <w:style w:styleId="PO10" w:type="paragraph">
    <w:name w:val="heading 4"/>
    <w:basedOn w:val="PO152"/>
    <w:next w:val="PO152"/>
    <w:uiPriority w:val="10"/>
    <w:pPr>
      <w:autoSpaceDE w:val="1"/>
      <w:autoSpaceDN w:val="1"/>
      <w:keepLines/>
      <w:keepNext/>
      <w:widowControl/>
      <w:wordWrap/>
    </w:pPr>
    <w:rPr>
      <w:b/>
      <w:shd w:val="clear"/>
      <w:sz w:val="24"/>
      <w:szCs w:val="24"/>
      <w:w w:val="100"/>
    </w:rPr>
  </w:style>
  <w:style w:styleId="PO11" w:type="paragraph">
    <w:name w:val="heading 5"/>
    <w:basedOn w:val="PO152"/>
    <w:next w:val="PO152"/>
    <w:uiPriority w:val="11"/>
    <w:pPr>
      <w:autoSpaceDE w:val="1"/>
      <w:autoSpaceDN w:val="1"/>
      <w:keepLines/>
      <w:keepNext/>
      <w:widowControl/>
      <w:wordWrap/>
    </w:pPr>
    <w:rPr>
      <w:b/>
      <w:shd w:val="clear"/>
      <w:sz w:val="22"/>
      <w:szCs w:val="22"/>
      <w:w w:val="100"/>
    </w:rPr>
  </w:style>
  <w:style w:styleId="PO12" w:type="paragraph">
    <w:name w:val="heading 6"/>
    <w:basedOn w:val="PO152"/>
    <w:next w:val="PO152"/>
    <w:uiPriority w:val="12"/>
    <w:pPr>
      <w:autoSpaceDE w:val="1"/>
      <w:autoSpaceDN w:val="1"/>
      <w:keepLines/>
      <w:keepNext/>
      <w:widowControl/>
      <w:wordWrap/>
    </w:pPr>
    <w:rPr>
      <w:b/>
      <w:shd w:val="clear"/>
      <w:sz w:val="20"/>
      <w:szCs w:val="20"/>
      <w:w w:val="100"/>
    </w:rPr>
  </w:style>
  <w:style w:styleId="PO16" w:type="paragraph">
    <w:name w:val="Subtitle"/>
    <w:basedOn w:val="PO152"/>
    <w:next w:val="PO152"/>
    <w:uiPriority w:val="16"/>
    <w:pPr>
      <w:autoSpaceDE w:val="1"/>
      <w:autoSpaceDN w:val="1"/>
      <w:keepLines/>
      <w:keepNext/>
      <w:widowControl/>
      <w:wordWrap/>
    </w:pPr>
    <w:rPr>
      <w:color w:val="666666"/>
      <w:i/>
      <w:rFonts w:ascii="Georgia" w:eastAsia="Georgia" w:hAnsi="Georgia"/>
      <w:shd w:val="clear"/>
      <w:sz w:val="48"/>
      <w:szCs w:val="48"/>
      <w:w w:val="100"/>
    </w:rPr>
  </w:style>
  <w:style w:default="1" w:styleId="PO37" w:type="table">
    <w:name w:val="Normal Table"/>
    <w:basedOn w:val="PO3"/>
    <w:uiPriority w:val="37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152" w:type="paragraph">
    <w:name w:val="normal"/>
    <w:uiPriority w:val="152"/>
  </w:style>
  <w:style w:default="1" w:styleId="PO153" w:type="table">
    <w:name w:val="Table Normal"/>
    <w:uiPriority w:val="1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header" Target="header2.xml"></Relationship><Relationship Id="rId6" Type="http://schemas.openxmlformats.org/officeDocument/2006/relationships/footer" Target="footer3.xml"></Relationship><Relationship Id="rId7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0</Characters>
  <CharactersWithSpaces>0</CharactersWithSpaces>
  <DocSecurity>0</DocSecurity>
  <HyperlinksChanged>false</HyperlinksChanged>
  <Lines>0</Lines>
  <LinksUpToDate>false</LinksUpToDate>
  <Pages>2</Pages>
  <Paragraphs>0</Paragraphs>
  <Words>0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ModifiedBy/>
</cp:coreProperties>
</file>