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90C" w:rsidRPr="00E66A65" w:rsidRDefault="00D70957" w:rsidP="00E66A65">
      <w:pPr>
        <w:jc w:val="center"/>
        <w:rPr>
          <w:rFonts w:ascii="Times New Roman" w:hAnsi="Times New Roman" w:cs="Times New Roman"/>
          <w:b/>
        </w:rPr>
      </w:pPr>
      <w:r w:rsidRPr="00E66A65">
        <w:rPr>
          <w:rFonts w:ascii="Times New Roman" w:hAnsi="Times New Roman" w:cs="Times New Roman"/>
          <w:b/>
        </w:rPr>
        <w:t>THE SPIRIT AND THE WORD OF GOD IN THE OT</w:t>
      </w:r>
    </w:p>
    <w:p w:rsidR="00D70957" w:rsidRPr="00CE2846" w:rsidRDefault="00D70957">
      <w:pPr>
        <w:rPr>
          <w:rFonts w:ascii="Times New Roman" w:hAnsi="Times New Roman" w:cs="Times New Roman"/>
        </w:rPr>
      </w:pPr>
    </w:p>
    <w:p w:rsidR="00D70957" w:rsidRPr="00CE2846" w:rsidRDefault="00D70957">
      <w:pPr>
        <w:rPr>
          <w:rFonts w:ascii="Times New Roman" w:hAnsi="Times New Roman" w:cs="Times New Roman"/>
        </w:rPr>
      </w:pPr>
      <w:r w:rsidRPr="00CE2846">
        <w:rPr>
          <w:rFonts w:ascii="Times New Roman" w:hAnsi="Times New Roman" w:cs="Times New Roman"/>
        </w:rPr>
        <w:t>THE SPIRIT</w:t>
      </w:r>
    </w:p>
    <w:p w:rsidR="00D70957" w:rsidRPr="00CE2846" w:rsidRDefault="00D70957">
      <w:pPr>
        <w:rPr>
          <w:rFonts w:ascii="Times New Roman" w:hAnsi="Times New Roman" w:cs="Times New Roman"/>
        </w:rPr>
      </w:pPr>
    </w:p>
    <w:p w:rsidR="00D70957" w:rsidRPr="00CE2846" w:rsidRDefault="00D70957">
      <w:pPr>
        <w:rPr>
          <w:rFonts w:ascii="Times New Roman" w:hAnsi="Times New Roman" w:cs="Times New Roman"/>
        </w:rPr>
      </w:pPr>
      <w:r w:rsidRPr="00CE2846">
        <w:rPr>
          <w:rFonts w:ascii="Times New Roman" w:hAnsi="Times New Roman" w:cs="Times New Roman"/>
        </w:rPr>
        <w:t>The word “Spirit” and Occurrences</w:t>
      </w:r>
    </w:p>
    <w:p w:rsidR="00D70957" w:rsidRPr="00CE2846" w:rsidRDefault="00D70957">
      <w:pPr>
        <w:rPr>
          <w:rFonts w:ascii="Times New Roman" w:hAnsi="Times New Roman" w:cs="Times New Roman"/>
        </w:rPr>
      </w:pPr>
    </w:p>
    <w:p w:rsidR="00D70957" w:rsidRDefault="00D70957" w:rsidP="00CE2846">
      <w:pPr>
        <w:jc w:val="both"/>
        <w:rPr>
          <w:rFonts w:ascii="Times New Roman" w:hAnsi="Times New Roman" w:cs="Times New Roman"/>
        </w:rPr>
      </w:pPr>
      <w:r w:rsidRPr="00CE2846">
        <w:rPr>
          <w:rFonts w:ascii="Times New Roman" w:hAnsi="Times New Roman" w:cs="Times New Roman"/>
        </w:rPr>
        <w:t>Of the approximately 224 times the English word “Spirit” occurs in the Old Testament, the Hebrew word “</w:t>
      </w:r>
      <w:r w:rsidRPr="008441EB">
        <w:rPr>
          <w:rFonts w:ascii="Times New Roman" w:hAnsi="Times New Roman" w:cs="Times New Roman"/>
          <w:i/>
        </w:rPr>
        <w:t>ruah</w:t>
      </w:r>
      <w:r w:rsidRPr="00CE2846">
        <w:rPr>
          <w:rFonts w:ascii="Times New Roman" w:hAnsi="Times New Roman" w:cs="Times New Roman"/>
        </w:rPr>
        <w:t>” renders this idea in Hebrew</w:t>
      </w:r>
      <w:r w:rsidR="00CE2846">
        <w:rPr>
          <w:rFonts w:ascii="Times New Roman" w:hAnsi="Times New Roman" w:cs="Times New Roman"/>
        </w:rPr>
        <w:t xml:space="preserve"> a total of 207 times</w:t>
      </w:r>
      <w:r w:rsidRPr="00CE2846">
        <w:rPr>
          <w:rFonts w:ascii="Times New Roman" w:hAnsi="Times New Roman" w:cs="Times New Roman"/>
        </w:rPr>
        <w:t>.</w:t>
      </w:r>
      <w:r w:rsidR="00CE2846">
        <w:rPr>
          <w:rStyle w:val="FootnoteReference"/>
          <w:rFonts w:ascii="Times New Roman" w:hAnsi="Times New Roman" w:cs="Times New Roman"/>
        </w:rPr>
        <w:footnoteReference w:id="1"/>
      </w:r>
      <w:r w:rsidRPr="00CE2846">
        <w:rPr>
          <w:rFonts w:ascii="Times New Roman" w:hAnsi="Times New Roman" w:cs="Times New Roman"/>
        </w:rPr>
        <w:t xml:space="preserve"> </w:t>
      </w:r>
      <w:r w:rsidR="00CE2846" w:rsidRPr="00CE2846">
        <w:rPr>
          <w:rFonts w:ascii="Times New Roman" w:hAnsi="Times New Roman" w:cs="Times New Roman"/>
        </w:rPr>
        <w:t>Other Hebrew words like “</w:t>
      </w:r>
      <w:r w:rsidR="00E11F68" w:rsidRPr="008441EB">
        <w:rPr>
          <w:rFonts w:ascii="Times New Roman" w:hAnsi="Times New Roman" w:cs="Times New Roman"/>
          <w:i/>
        </w:rPr>
        <w:t>nephesh</w:t>
      </w:r>
      <w:r w:rsidR="00CE2846" w:rsidRPr="00CE2846">
        <w:rPr>
          <w:rFonts w:ascii="Times New Roman" w:hAnsi="Times New Roman" w:cs="Times New Roman"/>
        </w:rPr>
        <w:t>” (cf. Deut 28:65; ), “</w:t>
      </w:r>
      <w:r w:rsidR="00CE2846" w:rsidRPr="008441EB">
        <w:rPr>
          <w:rFonts w:ascii="Times New Roman" w:hAnsi="Times New Roman" w:cs="Times New Roman"/>
          <w:i/>
        </w:rPr>
        <w:t>neshamah</w:t>
      </w:r>
      <w:r w:rsidR="00CE2846" w:rsidRPr="00CE2846">
        <w:rPr>
          <w:rFonts w:ascii="Times New Roman" w:hAnsi="Times New Roman" w:cs="Times New Roman"/>
        </w:rPr>
        <w:t xml:space="preserve">” (cf. Job 26:4; </w:t>
      </w:r>
      <w:proofErr w:type="spellStart"/>
      <w:r w:rsidR="00CE2846" w:rsidRPr="00CE2846">
        <w:rPr>
          <w:rFonts w:ascii="Times New Roman" w:hAnsi="Times New Roman" w:cs="Times New Roman"/>
        </w:rPr>
        <w:t>Prov</w:t>
      </w:r>
      <w:proofErr w:type="spellEnd"/>
      <w:r w:rsidR="00CE2846" w:rsidRPr="00CE2846">
        <w:rPr>
          <w:rFonts w:ascii="Times New Roman" w:hAnsi="Times New Roman" w:cs="Times New Roman"/>
        </w:rPr>
        <w:t xml:space="preserve"> 20:27) could sometimes render the English idea of spirit but it is “</w:t>
      </w:r>
      <w:r w:rsidR="00CE2846" w:rsidRPr="008441EB">
        <w:rPr>
          <w:rFonts w:ascii="Times New Roman" w:hAnsi="Times New Roman" w:cs="Times New Roman"/>
          <w:i/>
        </w:rPr>
        <w:t>ruah</w:t>
      </w:r>
      <w:r w:rsidR="00CE2846" w:rsidRPr="00CE2846">
        <w:rPr>
          <w:rFonts w:ascii="Times New Roman" w:hAnsi="Times New Roman" w:cs="Times New Roman"/>
        </w:rPr>
        <w:t>” which renders this idea in its most proper sense</w:t>
      </w:r>
      <w:r w:rsidR="00CE2846">
        <w:rPr>
          <w:rFonts w:ascii="Times New Roman" w:hAnsi="Times New Roman" w:cs="Times New Roman"/>
        </w:rPr>
        <w:t xml:space="preserve"> as a life-giving force associated to both God and to humans</w:t>
      </w:r>
      <w:r w:rsidR="00CE2846" w:rsidRPr="00CE2846">
        <w:rPr>
          <w:rFonts w:ascii="Times New Roman" w:hAnsi="Times New Roman" w:cs="Times New Roman"/>
        </w:rPr>
        <w:t xml:space="preserve">. </w:t>
      </w:r>
      <w:r w:rsidR="00CE2846">
        <w:rPr>
          <w:rFonts w:ascii="Times New Roman" w:hAnsi="Times New Roman" w:cs="Times New Roman"/>
        </w:rPr>
        <w:t>According to Tengström, this word “</w:t>
      </w:r>
      <w:r w:rsidR="00CE2846" w:rsidRPr="008441EB">
        <w:rPr>
          <w:rFonts w:ascii="Times New Roman" w:hAnsi="Times New Roman" w:cs="Times New Roman"/>
          <w:i/>
        </w:rPr>
        <w:t>ruah</w:t>
      </w:r>
      <w:r w:rsidR="00CE2846">
        <w:rPr>
          <w:rFonts w:ascii="Times New Roman" w:hAnsi="Times New Roman" w:cs="Times New Roman"/>
        </w:rPr>
        <w:t>” which is probably onomatopic, denotes an action (a verbal noun), i.e., the “blowing” of the wind or “respiration”. By analogy it came to mean breathing as a sign of life and hence “spirit” and “life”.</w:t>
      </w:r>
      <w:r w:rsidR="00CE2846">
        <w:rPr>
          <w:rStyle w:val="FootnoteReference"/>
          <w:rFonts w:ascii="Times New Roman" w:hAnsi="Times New Roman" w:cs="Times New Roman"/>
        </w:rPr>
        <w:footnoteReference w:id="2"/>
      </w:r>
      <w:r w:rsidR="00CE2846">
        <w:rPr>
          <w:rFonts w:ascii="Times New Roman" w:hAnsi="Times New Roman" w:cs="Times New Roman"/>
        </w:rPr>
        <w:t xml:space="preserve"> Hence, the idea of spirit comes fundamentally from that which both the ancients and the modern person relates to a person with life “breath”. The LXX (Septuagint) </w:t>
      </w:r>
      <w:r w:rsidR="008441EB">
        <w:rPr>
          <w:rFonts w:ascii="Times New Roman" w:hAnsi="Times New Roman" w:cs="Times New Roman"/>
        </w:rPr>
        <w:t>translation</w:t>
      </w:r>
      <w:r w:rsidR="00CE2846">
        <w:rPr>
          <w:rFonts w:ascii="Times New Roman" w:hAnsi="Times New Roman" w:cs="Times New Roman"/>
        </w:rPr>
        <w:t xml:space="preserve"> of this word is “pneuma” which means basically the same in Greek. </w:t>
      </w:r>
    </w:p>
    <w:p w:rsidR="00ED5617" w:rsidRDefault="00ED5617" w:rsidP="00CE2846">
      <w:pPr>
        <w:jc w:val="both"/>
        <w:rPr>
          <w:rFonts w:ascii="Times New Roman" w:hAnsi="Times New Roman" w:cs="Times New Roman"/>
        </w:rPr>
      </w:pPr>
    </w:p>
    <w:p w:rsidR="00ED5617" w:rsidRDefault="00ED5617" w:rsidP="00CE2846">
      <w:pPr>
        <w:jc w:val="both"/>
        <w:rPr>
          <w:rFonts w:ascii="Times New Roman" w:hAnsi="Times New Roman" w:cs="Times New Roman"/>
        </w:rPr>
      </w:pPr>
      <w:r>
        <w:rPr>
          <w:rFonts w:ascii="Times New Roman" w:hAnsi="Times New Roman" w:cs="Times New Roman"/>
        </w:rPr>
        <w:t>The Creative Work of the Spirit (God’s Wind)</w:t>
      </w:r>
    </w:p>
    <w:p w:rsidR="00CE2846" w:rsidRDefault="00ED5617" w:rsidP="00ED5617">
      <w:pPr>
        <w:pStyle w:val="NormalWeb"/>
        <w:jc w:val="both"/>
      </w:pPr>
      <w:r w:rsidRPr="00ED5617">
        <w:t>There is still some debate around the place of the spirit at the creation of the world.</w:t>
      </w:r>
      <w:r w:rsidRPr="00ED5617">
        <w:rPr>
          <w:rStyle w:val="FootnoteReference"/>
        </w:rPr>
        <w:footnoteReference w:id="3"/>
      </w:r>
      <w:r w:rsidRPr="00ED5617">
        <w:t xml:space="preserve"> They focus on the interpretation of Gen 1:2: “the spirit of the Lord was hovering over the waters”. The exact role of the spirit in the act of creation is not known and the translation</w:t>
      </w:r>
      <w:r w:rsidR="00E91AEF">
        <w:rPr>
          <w:rStyle w:val="FootnoteReference"/>
        </w:rPr>
        <w:footnoteReference w:id="4"/>
      </w:r>
      <w:r w:rsidRPr="00ED5617">
        <w:t>, even though problematic, associates the spirit of God with the moments in which the cosmos was created. However, to tell us that ancient interpreters of this passage of Genesis understood the spirit as having an active role, Ps 33:6 creates a parallel between the role of the word of God in creation and the spirit of God in creation. “</w:t>
      </w:r>
      <w:r w:rsidRPr="00ED5617">
        <w:rPr>
          <w:i/>
        </w:rPr>
        <w:t xml:space="preserve">By the word of </w:t>
      </w:r>
      <w:r w:rsidR="002933B7" w:rsidRPr="00ED5617">
        <w:rPr>
          <w:i/>
        </w:rPr>
        <w:t>Yahweh,</w:t>
      </w:r>
      <w:r w:rsidRPr="00ED5617">
        <w:rPr>
          <w:i/>
        </w:rPr>
        <w:t xml:space="preserve"> the heavens were made, by the breath of his mouth all their host</w:t>
      </w:r>
      <w:r w:rsidR="002933B7">
        <w:rPr>
          <w:i/>
        </w:rPr>
        <w:t>.</w:t>
      </w:r>
      <w:r w:rsidRPr="00ED5617">
        <w:t>"  The same notion appears in Psa 147:8; 148:8 "The word. which lends substance to the breath of the mouth. probably marks the beginning of the bridge leading to a truly spiritualized interpretation of the breath, the idea of 'spirit' in the strict sense."</w:t>
      </w:r>
      <w:r>
        <w:t xml:space="preserve"> The spirit therefore as a creative force or power of God can be seen in the interpretation of these Psalms. </w:t>
      </w:r>
      <w:r w:rsidR="00E91AEF">
        <w:t xml:space="preserve"> </w:t>
      </w:r>
    </w:p>
    <w:p w:rsidR="00ED5617" w:rsidRDefault="00ED5617" w:rsidP="00ED5617">
      <w:pPr>
        <w:pStyle w:val="NormalWeb"/>
        <w:jc w:val="both"/>
      </w:pPr>
      <w:r>
        <w:t>The Wind/spirit as an agent of divine Judgement</w:t>
      </w:r>
    </w:p>
    <w:p w:rsidR="00ED5617" w:rsidRDefault="00ED5617" w:rsidP="00ED5617">
      <w:pPr>
        <w:pStyle w:val="NormalWeb"/>
        <w:jc w:val="both"/>
      </w:pPr>
      <w:r>
        <w:t xml:space="preserve">Some parts of the OT portray the </w:t>
      </w:r>
      <w:r w:rsidRPr="008441EB">
        <w:rPr>
          <w:i/>
        </w:rPr>
        <w:t>ruah</w:t>
      </w:r>
      <w:r>
        <w:t xml:space="preserve"> as an instrument or agent of God who judges nations or individuals. </w:t>
      </w:r>
      <w:r w:rsidRPr="00ED5617">
        <w:t>“The storm theophanies symbolize primarily Yahweh's military intervention to deliver king and nation; his coming in judgment is often represented instead by the image or the parching east wind. which drives away leaves, dust. and - during winnowing - chaff”.</w:t>
      </w:r>
      <w:r>
        <w:rPr>
          <w:rStyle w:val="FootnoteReference"/>
        </w:rPr>
        <w:footnoteReference w:id="5"/>
      </w:r>
      <w:r>
        <w:t xml:space="preserve"> </w:t>
      </w:r>
      <w:r>
        <w:lastRenderedPageBreak/>
        <w:t xml:space="preserve">God’s people are judged through the agency of “ruah” in Isa 27:8; 64:5; Jer 13:24; 18:17. This same tendency of associating “ruah” with divine judgement can also be seen </w:t>
      </w:r>
      <w:proofErr w:type="spellStart"/>
      <w:r>
        <w:t>inn</w:t>
      </w:r>
      <w:proofErr w:type="spellEnd"/>
      <w:r>
        <w:t xml:space="preserve"> the Psalms (Ps 83:14). However</w:t>
      </w:r>
      <w:r w:rsidR="00A13B83">
        <w:t>,</w:t>
      </w:r>
      <w:r>
        <w:t xml:space="preserve"> these passages do not appear to associate this spirit immediately with God but rather as an instrument which God is going to use in judgement. Old Testament students must be careful to understand that our Christian understanding of “spirit” does not always correspond with the OT use of the term “ruah”.</w:t>
      </w:r>
      <w:r>
        <w:rPr>
          <w:rStyle w:val="FootnoteReference"/>
        </w:rPr>
        <w:footnoteReference w:id="6"/>
      </w:r>
      <w:r>
        <w:t xml:space="preserve"> Perhaps according to Tengström, the narrator wishes to suggest a manifestation of God in the wind.</w:t>
      </w:r>
      <w:r>
        <w:rPr>
          <w:rStyle w:val="FootnoteReference"/>
        </w:rPr>
        <w:footnoteReference w:id="7"/>
      </w:r>
    </w:p>
    <w:p w:rsidR="00ED5617" w:rsidRDefault="00ED5617" w:rsidP="00ED5617">
      <w:pPr>
        <w:pStyle w:val="NormalWeb"/>
        <w:jc w:val="both"/>
      </w:pPr>
      <w:r>
        <w:t>The Spirit as an agent of Revelation</w:t>
      </w:r>
    </w:p>
    <w:p w:rsidR="00ED5617" w:rsidRPr="00ED5617" w:rsidRDefault="00ED5617" w:rsidP="00ED5617">
      <w:pPr>
        <w:pStyle w:val="NormalWeb"/>
        <w:jc w:val="both"/>
      </w:pPr>
      <w:r>
        <w:t xml:space="preserve">Later texts of the OT manifest the spirit as an agent of revelation especially prophetic revelation. In this sense, the spirit is usually associated with the “word” of God which is usually given as a prophetic oracle. The spirit as an agent of prophetic revelation and manifestation of God appears in many prophetic texts which many interpreters consider as late, especially in the book of Ezekiel. Ezekiel describes the “ruah” as entering into him and making him stand on his feet to receive his commission. In nine other additional passages, the ruah plays an active role in the experiences, visions and auditions of the prophet (cf. 3:12, 14, 24; 8:3; 11:1,5,24; 37:1; 43:5). The spirit as a medium of revelation is especially developed in post-exilic texts. In Chronicles, prophets spoke under the influence of the spirit. This same notion is found in the book of Samuel: “the spirit of God speaks in me…, his word is upon my tongue” (2 Sam 23:2).  This notion of “ruah” as an agent of revelation represents a later stage in the conception and understanding of the spirit and even though does not correspond to our Christian notion of the spirit, it is still the notion of “ruah” which is closest to our understanding of the “spirit” of God today. </w:t>
      </w:r>
    </w:p>
    <w:p w:rsidR="00CE2846" w:rsidRDefault="00CE2846" w:rsidP="00CE2846">
      <w:pPr>
        <w:jc w:val="both"/>
        <w:rPr>
          <w:rFonts w:ascii="Times New Roman" w:hAnsi="Times New Roman" w:cs="Times New Roman"/>
        </w:rPr>
      </w:pPr>
      <w:r>
        <w:rPr>
          <w:rFonts w:ascii="Times New Roman" w:hAnsi="Times New Roman" w:cs="Times New Roman"/>
        </w:rPr>
        <w:t>THE WORD OF GOD</w:t>
      </w:r>
      <w:r w:rsidR="008441EB">
        <w:rPr>
          <w:rFonts w:ascii="Times New Roman" w:hAnsi="Times New Roman" w:cs="Times New Roman"/>
        </w:rPr>
        <w:t xml:space="preserve"> </w:t>
      </w:r>
    </w:p>
    <w:p w:rsidR="003C7A0D" w:rsidRDefault="003C7A0D" w:rsidP="00CE2846">
      <w:pPr>
        <w:jc w:val="both"/>
        <w:rPr>
          <w:rFonts w:ascii="Times New Roman" w:hAnsi="Times New Roman" w:cs="Times New Roman"/>
        </w:rPr>
      </w:pPr>
    </w:p>
    <w:p w:rsidR="003C7A0D" w:rsidRDefault="003C7A0D" w:rsidP="00CE2846">
      <w:pPr>
        <w:jc w:val="both"/>
        <w:rPr>
          <w:rFonts w:ascii="Times New Roman" w:hAnsi="Times New Roman" w:cs="Times New Roman"/>
        </w:rPr>
      </w:pPr>
      <w:r>
        <w:rPr>
          <w:rFonts w:ascii="Times New Roman" w:hAnsi="Times New Roman" w:cs="Times New Roman"/>
        </w:rPr>
        <w:t>The term “word” in the OT: Occurrences and Semantics</w:t>
      </w:r>
      <w:r w:rsidR="008441EB">
        <w:rPr>
          <w:rFonts w:ascii="Times New Roman" w:hAnsi="Times New Roman" w:cs="Times New Roman"/>
        </w:rPr>
        <w:t xml:space="preserve"> </w:t>
      </w:r>
    </w:p>
    <w:p w:rsidR="00CE2846" w:rsidRDefault="00CE2846" w:rsidP="00CE2846">
      <w:pPr>
        <w:jc w:val="both"/>
        <w:rPr>
          <w:rFonts w:ascii="Times New Roman" w:hAnsi="Times New Roman" w:cs="Times New Roman"/>
        </w:rPr>
      </w:pPr>
    </w:p>
    <w:p w:rsidR="00CE2846" w:rsidRDefault="00CE2846" w:rsidP="00CE2846">
      <w:pPr>
        <w:jc w:val="both"/>
        <w:rPr>
          <w:rFonts w:ascii="Times New Roman" w:hAnsi="Times New Roman" w:cs="Times New Roman"/>
        </w:rPr>
      </w:pPr>
      <w:r>
        <w:rPr>
          <w:rFonts w:ascii="Times New Roman" w:hAnsi="Times New Roman" w:cs="Times New Roman"/>
        </w:rPr>
        <w:t>There are at least four different Hebrew words that can be translated by the English term “word”. Among them</w:t>
      </w:r>
      <w:r w:rsidR="003C7A0D">
        <w:rPr>
          <w:rFonts w:ascii="Times New Roman" w:hAnsi="Times New Roman" w:cs="Times New Roman"/>
        </w:rPr>
        <w:t xml:space="preserve"> are</w:t>
      </w:r>
      <w:r>
        <w:rPr>
          <w:rFonts w:ascii="Times New Roman" w:hAnsi="Times New Roman" w:cs="Times New Roman"/>
        </w:rPr>
        <w:t xml:space="preserve"> </w:t>
      </w:r>
      <w:r w:rsidRPr="00CE2846">
        <w:rPr>
          <w:rFonts w:ascii="Times New Roman" w:hAnsi="Times New Roman" w:cs="Times New Roman"/>
        </w:rPr>
        <w:t>דָּבָר</w:t>
      </w:r>
      <w:r>
        <w:rPr>
          <w:rFonts w:ascii="Times New Roman" w:hAnsi="Times New Roman" w:cs="Times New Roman"/>
        </w:rPr>
        <w:t xml:space="preserve"> “dabar”, </w:t>
      </w:r>
      <w:r w:rsidRPr="00CE2846">
        <w:rPr>
          <w:rFonts w:ascii="Times New Roman" w:hAnsi="Times New Roman" w:cs="Times New Roman"/>
        </w:rPr>
        <w:t>אֵ֫מֶר</w:t>
      </w:r>
      <w:r>
        <w:rPr>
          <w:rFonts w:ascii="Times New Roman" w:hAnsi="Times New Roman" w:cs="Times New Roman"/>
        </w:rPr>
        <w:t xml:space="preserve"> “emer”, </w:t>
      </w:r>
      <w:r w:rsidRPr="00CE2846">
        <w:rPr>
          <w:rFonts w:ascii="Times New Roman" w:hAnsi="Times New Roman" w:cs="Times New Roman"/>
        </w:rPr>
        <w:t>מִלָּה</w:t>
      </w:r>
      <w:r>
        <w:rPr>
          <w:rFonts w:ascii="Times New Roman" w:hAnsi="Times New Roman" w:cs="Times New Roman"/>
        </w:rPr>
        <w:t xml:space="preserve"> “milah” etc. Of all these the most important word which refers to the word as a dynamic reality with power is the word “dabar”. Moreover, it is also the most frequently occurring and the most widely represented word in the different corpi of the OT. While the word “emer” is used a few times in the Pentateuch and mostly in the wisdom books, the word “milah” is used more specifically only in wisdom literature. </w:t>
      </w:r>
      <w:r w:rsidR="003C7A0D">
        <w:rPr>
          <w:rFonts w:ascii="Times New Roman" w:hAnsi="Times New Roman" w:cs="Times New Roman"/>
        </w:rPr>
        <w:t>The</w:t>
      </w:r>
      <w:r>
        <w:rPr>
          <w:rFonts w:ascii="Times New Roman" w:hAnsi="Times New Roman" w:cs="Times New Roman"/>
        </w:rPr>
        <w:t xml:space="preserve"> word “dabar” however occurs in every corpus of the OT with notable frequency. The word basically means “speech”, “word” generally, it could also mean “matter, a thing, an issue, an occupation, an event”, but in a more specific sense, it could mean “the word of God” </w:t>
      </w:r>
      <w:r w:rsidRPr="00CE2846">
        <w:rPr>
          <w:rFonts w:ascii="Times New Roman" w:hAnsi="Times New Roman" w:cs="Times New Roman"/>
        </w:rPr>
        <w:t xml:space="preserve">(cf. 1 S 15:10 2 S 7:4 </w:t>
      </w:r>
      <w:r>
        <w:rPr>
          <w:rFonts w:ascii="Times New Roman" w:hAnsi="Times New Roman" w:cs="Times New Roman"/>
        </w:rPr>
        <w:t>[</w:t>
      </w:r>
      <w:r w:rsidRPr="00CE2846">
        <w:rPr>
          <w:rFonts w:ascii="Times New Roman" w:hAnsi="Times New Roman" w:cs="Times New Roman"/>
          <w:i/>
        </w:rPr>
        <w:t>cf</w:t>
      </w:r>
      <w:r w:rsidRPr="00CE2846">
        <w:rPr>
          <w:rFonts w:ascii="Times New Roman" w:hAnsi="Times New Roman" w:cs="Times New Roman"/>
          <w:i/>
        </w:rPr>
        <w:footnoteReference w:customMarkFollows="1" w:id="8"/>
        <w:t>.</w:t>
      </w:r>
      <w:r w:rsidRPr="00CE2846">
        <w:rPr>
          <w:rFonts w:ascii="Times New Roman" w:hAnsi="Times New Roman" w:cs="Times New Roman"/>
        </w:rPr>
        <w:t xml:space="preserve"> </w:t>
      </w:r>
      <w:proofErr w:type="spellStart"/>
      <w:r w:rsidRPr="00CE2846">
        <w:rPr>
          <w:rFonts w:ascii="Times New Roman" w:hAnsi="Times New Roman" w:cs="Times New Roman"/>
          <w:rtl/>
          <w:lang w:bidi="he-IL"/>
        </w:rPr>
        <w:t>אלהים</w:t>
      </w:r>
      <w:proofErr w:type="spellEnd"/>
      <w:r w:rsidRPr="00CE2846">
        <w:rPr>
          <w:rFonts w:ascii="Times New Roman" w:hAnsi="Times New Roman" w:cs="Times New Roman"/>
        </w:rPr>
        <w:t xml:space="preserve"> 1 Ch 17:3</w:t>
      </w:r>
      <w:r>
        <w:rPr>
          <w:rFonts w:ascii="Times New Roman" w:hAnsi="Times New Roman" w:cs="Times New Roman"/>
        </w:rPr>
        <w:t>]</w:t>
      </w:r>
      <w:r w:rsidRPr="00CE2846">
        <w:rPr>
          <w:rFonts w:ascii="Times New Roman" w:hAnsi="Times New Roman" w:cs="Times New Roman"/>
        </w:rPr>
        <w:t xml:space="preserve">, 1 K 6:11; 13:20; 16:1; 17:2, 8; 21:17, 28 2 Ch 11:2 </w:t>
      </w:r>
      <w:r>
        <w:rPr>
          <w:rFonts w:ascii="Times New Roman" w:hAnsi="Times New Roman" w:cs="Times New Roman"/>
        </w:rPr>
        <w:t>[</w:t>
      </w:r>
      <w:r w:rsidRPr="00CE2846">
        <w:rPr>
          <w:rFonts w:ascii="Times New Roman" w:hAnsi="Times New Roman" w:cs="Times New Roman"/>
          <w:i/>
        </w:rPr>
        <w:t>cf</w:t>
      </w:r>
      <w:r w:rsidRPr="00CE2846">
        <w:rPr>
          <w:rFonts w:ascii="Times New Roman" w:hAnsi="Times New Roman" w:cs="Times New Roman"/>
          <w:i/>
        </w:rPr>
        <w:footnoteReference w:customMarkFollows="1" w:id="9"/>
        <w:t>.</w:t>
      </w:r>
      <w:r w:rsidRPr="00CE2846">
        <w:rPr>
          <w:rFonts w:ascii="Times New Roman" w:hAnsi="Times New Roman" w:cs="Times New Roman"/>
        </w:rPr>
        <w:t xml:space="preserve"> </w:t>
      </w:r>
      <w:proofErr w:type="spellStart"/>
      <w:r w:rsidRPr="00CE2846">
        <w:rPr>
          <w:rFonts w:ascii="Times New Roman" w:hAnsi="Times New Roman" w:cs="Times New Roman"/>
          <w:rtl/>
          <w:lang w:bidi="he-IL"/>
        </w:rPr>
        <w:t>האל</w:t>
      </w:r>
      <w:bookmarkStart w:id="0" w:name="_GoBack"/>
      <w:bookmarkEnd w:id="0"/>
      <w:r w:rsidRPr="00CE2846">
        <w:rPr>
          <w:rFonts w:ascii="Times New Roman" w:hAnsi="Times New Roman" w:cs="Times New Roman"/>
          <w:rtl/>
          <w:lang w:bidi="he-IL"/>
        </w:rPr>
        <w:t>הים</w:t>
      </w:r>
      <w:proofErr w:type="spellEnd"/>
      <w:r w:rsidRPr="00CE2846">
        <w:rPr>
          <w:rFonts w:ascii="Times New Roman" w:hAnsi="Times New Roman" w:cs="Times New Roman"/>
        </w:rPr>
        <w:t xml:space="preserve"> 1 K 12:22</w:t>
      </w:r>
      <w:r>
        <w:rPr>
          <w:rFonts w:ascii="Times New Roman" w:hAnsi="Times New Roman" w:cs="Times New Roman"/>
        </w:rPr>
        <w:t>]</w:t>
      </w:r>
      <w:r w:rsidRPr="00CE2846">
        <w:rPr>
          <w:rFonts w:ascii="Times New Roman" w:hAnsi="Times New Roman" w:cs="Times New Roman"/>
        </w:rPr>
        <w:t xml:space="preserve">; </w:t>
      </w:r>
      <w:r w:rsidRPr="00CE2846">
        <w:rPr>
          <w:rFonts w:ascii="Times New Roman" w:hAnsi="Times New Roman" w:cs="Times New Roman"/>
          <w:i/>
        </w:rPr>
        <w:t>cf</w:t>
      </w:r>
      <w:r w:rsidRPr="00CE2846">
        <w:rPr>
          <w:rFonts w:ascii="Times New Roman" w:hAnsi="Times New Roman" w:cs="Times New Roman"/>
          <w:i/>
        </w:rPr>
        <w:footnoteReference w:customMarkFollows="1" w:id="10"/>
        <w:t>.</w:t>
      </w:r>
      <w:r w:rsidRPr="00CE2846">
        <w:rPr>
          <w:rFonts w:ascii="Times New Roman" w:hAnsi="Times New Roman" w:cs="Times New Roman"/>
        </w:rPr>
        <w:t xml:space="preserve">1 Ch 22:8 </w:t>
      </w:r>
      <w:r>
        <w:rPr>
          <w:rFonts w:ascii="Times New Roman" w:hAnsi="Times New Roman" w:cs="Times New Roman"/>
        </w:rPr>
        <w:t>[</w:t>
      </w:r>
      <w:r w:rsidRPr="00CE2846">
        <w:rPr>
          <w:rFonts w:ascii="Times New Roman" w:hAnsi="Times New Roman" w:cs="Times New Roman"/>
          <w:rtl/>
          <w:lang w:bidi="he-IL"/>
        </w:rPr>
        <w:t>על</w:t>
      </w:r>
      <w:r w:rsidRPr="00CE2846">
        <w:rPr>
          <w:rFonts w:ascii="Times New Roman" w:hAnsi="Times New Roman" w:cs="Times New Roman"/>
        </w:rPr>
        <w:t xml:space="preserve"> by confusion</w:t>
      </w:r>
      <w:r>
        <w:rPr>
          <w:rFonts w:ascii="Times New Roman" w:hAnsi="Times New Roman" w:cs="Times New Roman"/>
        </w:rPr>
        <w:t>]</w:t>
      </w:r>
      <w:r w:rsidRPr="00CE2846">
        <w:rPr>
          <w:rFonts w:ascii="Times New Roman" w:hAnsi="Times New Roman" w:cs="Times New Roman"/>
        </w:rPr>
        <w:t xml:space="preserve">, Is 38:4 </w:t>
      </w:r>
      <w:proofErr w:type="spellStart"/>
      <w:r w:rsidRPr="00CE2846">
        <w:rPr>
          <w:rFonts w:ascii="Times New Roman" w:hAnsi="Times New Roman" w:cs="Times New Roman"/>
        </w:rPr>
        <w:t>Je</w:t>
      </w:r>
      <w:proofErr w:type="spellEnd"/>
      <w:r w:rsidRPr="00CE2846">
        <w:rPr>
          <w:rFonts w:ascii="Times New Roman" w:hAnsi="Times New Roman" w:cs="Times New Roman"/>
        </w:rPr>
        <w:t xml:space="preserve"> 1:4 </w:t>
      </w:r>
      <w:r w:rsidRPr="00CE2846">
        <w:rPr>
          <w:rFonts w:ascii="Times New Roman" w:hAnsi="Times New Roman" w:cs="Times New Roman"/>
        </w:rPr>
        <w:footnoteReference w:customMarkFollows="1" w:id="11"/>
        <w:t xml:space="preserve">+ 20 times </w:t>
      </w:r>
      <w:proofErr w:type="spellStart"/>
      <w:r w:rsidRPr="00CE2846">
        <w:rPr>
          <w:rFonts w:ascii="Times New Roman" w:hAnsi="Times New Roman" w:cs="Times New Roman"/>
        </w:rPr>
        <w:t>Je</w:t>
      </w:r>
      <w:proofErr w:type="spellEnd"/>
      <w:r w:rsidRPr="00CE2846">
        <w:rPr>
          <w:rFonts w:ascii="Times New Roman" w:hAnsi="Times New Roman" w:cs="Times New Roman"/>
        </w:rPr>
        <w:t xml:space="preserve">, </w:t>
      </w:r>
      <w:proofErr w:type="spellStart"/>
      <w:r w:rsidRPr="00CE2846">
        <w:rPr>
          <w:rFonts w:ascii="Times New Roman" w:hAnsi="Times New Roman" w:cs="Times New Roman"/>
        </w:rPr>
        <w:t>Ez</w:t>
      </w:r>
      <w:proofErr w:type="spellEnd"/>
      <w:r w:rsidRPr="00CE2846">
        <w:rPr>
          <w:rFonts w:ascii="Times New Roman" w:hAnsi="Times New Roman" w:cs="Times New Roman"/>
        </w:rPr>
        <w:t xml:space="preserve"> 3:16</w:t>
      </w:r>
      <w:r w:rsidRPr="00CE2846">
        <w:rPr>
          <w:rFonts w:ascii="Times New Roman" w:hAnsi="Times New Roman" w:cs="Times New Roman"/>
          <w:vertAlign w:val="superscript"/>
        </w:rPr>
        <w:footnoteReference w:id="12"/>
      </w:r>
      <w:r w:rsidRPr="00CE2846">
        <w:rPr>
          <w:rFonts w:ascii="Times New Roman" w:hAnsi="Times New Roman" w:cs="Times New Roman"/>
        </w:rPr>
        <w:t>)</w:t>
      </w:r>
      <w:r>
        <w:rPr>
          <w:rFonts w:ascii="Times New Roman" w:hAnsi="Times New Roman" w:cs="Times New Roman"/>
        </w:rPr>
        <w:t xml:space="preserve">. This sense of “dabar” as referring to the word of God is mostly visible in prophetic literature </w:t>
      </w:r>
      <w:r>
        <w:rPr>
          <w:rFonts w:ascii="Times New Roman" w:hAnsi="Times New Roman" w:cs="Times New Roman"/>
        </w:rPr>
        <w:lastRenderedPageBreak/>
        <w:t xml:space="preserve">where the word is a central concept both in the theology of the books and in the vocation of the prophets. </w:t>
      </w:r>
    </w:p>
    <w:p w:rsidR="00C473C4" w:rsidRDefault="00C473C4" w:rsidP="00CE2846">
      <w:pPr>
        <w:jc w:val="both"/>
        <w:rPr>
          <w:rFonts w:ascii="Times New Roman" w:hAnsi="Times New Roman" w:cs="Times New Roman"/>
        </w:rPr>
      </w:pPr>
    </w:p>
    <w:p w:rsidR="00CE2846" w:rsidRDefault="00CE2846" w:rsidP="00CE2846">
      <w:pPr>
        <w:jc w:val="both"/>
        <w:rPr>
          <w:rFonts w:ascii="Times New Roman" w:hAnsi="Times New Roman" w:cs="Times New Roman"/>
        </w:rPr>
      </w:pPr>
      <w:r>
        <w:rPr>
          <w:rFonts w:ascii="Times New Roman" w:hAnsi="Times New Roman" w:cs="Times New Roman"/>
        </w:rPr>
        <w:t>The Divine Word in the Ancient Near East</w:t>
      </w:r>
    </w:p>
    <w:p w:rsidR="00CE2846" w:rsidRDefault="00CE2846" w:rsidP="00CE2846">
      <w:pPr>
        <w:jc w:val="both"/>
        <w:rPr>
          <w:rFonts w:ascii="Times New Roman" w:hAnsi="Times New Roman" w:cs="Times New Roman"/>
        </w:rPr>
      </w:pPr>
    </w:p>
    <w:p w:rsidR="00CE2846" w:rsidRDefault="00CE2846" w:rsidP="00CE2846">
      <w:pPr>
        <w:jc w:val="both"/>
        <w:rPr>
          <w:rFonts w:ascii="Times New Roman" w:hAnsi="Times New Roman" w:cs="Times New Roman"/>
        </w:rPr>
      </w:pPr>
      <w:r>
        <w:rPr>
          <w:rFonts w:ascii="Times New Roman" w:hAnsi="Times New Roman" w:cs="Times New Roman"/>
        </w:rPr>
        <w:t>To understand the use of the concept of “word” in the OT, it may be necessary to understand how this concept in the OT fits into the general conception of divine word in the cultures of the Ancient Near East to which ancient Israel belonged. The comparis</w:t>
      </w:r>
      <w:r w:rsidR="00103FE1">
        <w:rPr>
          <w:rFonts w:ascii="Times New Roman" w:hAnsi="Times New Roman" w:cs="Times New Roman"/>
        </w:rPr>
        <w:t>on</w:t>
      </w:r>
      <w:r>
        <w:rPr>
          <w:rFonts w:ascii="Times New Roman" w:hAnsi="Times New Roman" w:cs="Times New Roman"/>
        </w:rPr>
        <w:t xml:space="preserve"> with other Ancient Near Eastern cultures will help us determine to what degree the Hebrew or OT use of the word is original and the possible theological reasons for this originality. </w:t>
      </w:r>
      <w:r w:rsidR="005F7980">
        <w:rPr>
          <w:rFonts w:ascii="Times New Roman" w:hAnsi="Times New Roman" w:cs="Times New Roman"/>
        </w:rPr>
        <w:t xml:space="preserve">Oskar </w:t>
      </w:r>
      <w:proofErr w:type="spellStart"/>
      <w:r w:rsidR="005F7980">
        <w:rPr>
          <w:rFonts w:ascii="Times New Roman" w:hAnsi="Times New Roman" w:cs="Times New Roman"/>
        </w:rPr>
        <w:t>Grether</w:t>
      </w:r>
      <w:proofErr w:type="spellEnd"/>
      <w:r w:rsidR="005F7980">
        <w:rPr>
          <w:rFonts w:ascii="Times New Roman" w:hAnsi="Times New Roman" w:cs="Times New Roman"/>
        </w:rPr>
        <w:t xml:space="preserve"> and L. </w:t>
      </w:r>
      <w:proofErr w:type="spellStart"/>
      <w:r w:rsidR="005F7980">
        <w:rPr>
          <w:rFonts w:ascii="Times New Roman" w:hAnsi="Times New Roman" w:cs="Times New Roman"/>
        </w:rPr>
        <w:t>Dürr</w:t>
      </w:r>
      <w:proofErr w:type="spellEnd"/>
      <w:r w:rsidR="005F7980">
        <w:rPr>
          <w:rFonts w:ascii="Times New Roman" w:hAnsi="Times New Roman" w:cs="Times New Roman"/>
        </w:rPr>
        <w:t xml:space="preserve"> have both called attention to some Mesopotamian phrases and hymns which are similar in conception and form to some OT passages.</w:t>
      </w:r>
      <w:r w:rsidR="005F7980">
        <w:rPr>
          <w:rStyle w:val="FootnoteReference"/>
          <w:rFonts w:ascii="Times New Roman" w:hAnsi="Times New Roman" w:cs="Times New Roman"/>
        </w:rPr>
        <w:footnoteReference w:id="13"/>
      </w:r>
      <w:r w:rsidR="005F7980">
        <w:rPr>
          <w:rFonts w:ascii="Times New Roman" w:hAnsi="Times New Roman" w:cs="Times New Roman"/>
        </w:rPr>
        <w:t xml:space="preserve"> Some of these hymns are: hymn to the moon-god Sin, Enuma </w:t>
      </w:r>
      <w:proofErr w:type="spellStart"/>
      <w:r w:rsidR="005F7980">
        <w:rPr>
          <w:rFonts w:ascii="Times New Roman" w:hAnsi="Times New Roman" w:cs="Times New Roman"/>
        </w:rPr>
        <w:t>Elish</w:t>
      </w:r>
      <w:proofErr w:type="spellEnd"/>
      <w:r w:rsidR="005F7980">
        <w:rPr>
          <w:rFonts w:ascii="Times New Roman" w:hAnsi="Times New Roman" w:cs="Times New Roman"/>
        </w:rPr>
        <w:t>, a hymn to the goddess Baba, hymn to the god Enlil etc.</w:t>
      </w:r>
      <w:r w:rsidR="003C7A0D">
        <w:rPr>
          <w:rFonts w:ascii="Times New Roman" w:hAnsi="Times New Roman" w:cs="Times New Roman"/>
        </w:rPr>
        <w:t xml:space="preserve"> The Mesopotamian texts show that the divine word is conceived as an entity laden with power. Both gods and the human person are affected and moved by it. The power of the divine word is akin to the power of the magical word normally used by humans.</w:t>
      </w:r>
      <w:r w:rsidR="005F7980">
        <w:rPr>
          <w:rFonts w:ascii="Times New Roman" w:hAnsi="Times New Roman" w:cs="Times New Roman"/>
        </w:rPr>
        <w:t xml:space="preserve"> </w:t>
      </w:r>
      <w:r w:rsidR="003C7A0D">
        <w:rPr>
          <w:rFonts w:ascii="Times New Roman" w:hAnsi="Times New Roman" w:cs="Times New Roman"/>
        </w:rPr>
        <w:t>Apart from Mesopotamia, the divine word appears also in Egypt in connection with the creative actions of gods in the theology of Memphis.</w:t>
      </w:r>
      <w:r w:rsidR="003C7A0D">
        <w:rPr>
          <w:rStyle w:val="FootnoteReference"/>
          <w:rFonts w:ascii="Times New Roman" w:hAnsi="Times New Roman" w:cs="Times New Roman"/>
        </w:rPr>
        <w:footnoteReference w:id="14"/>
      </w:r>
      <w:r w:rsidR="003C7A0D">
        <w:rPr>
          <w:rFonts w:ascii="Times New Roman" w:hAnsi="Times New Roman" w:cs="Times New Roman"/>
        </w:rPr>
        <w:t xml:space="preserve"> In Egypt, the theological implication of the word is sought through the metaphysics of the “name” because name gives reality and that which is nameless is unintelligible and unreal. </w:t>
      </w:r>
    </w:p>
    <w:p w:rsidR="003C7A0D" w:rsidRDefault="003C7A0D" w:rsidP="00CE2846">
      <w:pPr>
        <w:jc w:val="both"/>
        <w:rPr>
          <w:rFonts w:ascii="Times New Roman" w:hAnsi="Times New Roman" w:cs="Times New Roman"/>
        </w:rPr>
      </w:pPr>
    </w:p>
    <w:p w:rsidR="003C7A0D" w:rsidRDefault="003C7A0D" w:rsidP="00CE2846">
      <w:pPr>
        <w:jc w:val="both"/>
        <w:rPr>
          <w:rFonts w:ascii="Times New Roman" w:hAnsi="Times New Roman" w:cs="Times New Roman"/>
        </w:rPr>
      </w:pPr>
      <w:r>
        <w:rPr>
          <w:rFonts w:ascii="Times New Roman" w:hAnsi="Times New Roman" w:cs="Times New Roman"/>
        </w:rPr>
        <w:t>Israelite Conception of the Spoken Word</w:t>
      </w:r>
    </w:p>
    <w:p w:rsidR="003C7A0D" w:rsidRDefault="003C7A0D" w:rsidP="00CE2846">
      <w:pPr>
        <w:jc w:val="both"/>
        <w:rPr>
          <w:rFonts w:ascii="Times New Roman" w:hAnsi="Times New Roman" w:cs="Times New Roman"/>
        </w:rPr>
      </w:pPr>
    </w:p>
    <w:p w:rsidR="003C7A0D" w:rsidRDefault="003C7A0D" w:rsidP="00CE2846">
      <w:pPr>
        <w:jc w:val="both"/>
        <w:rPr>
          <w:rFonts w:ascii="Times New Roman" w:hAnsi="Times New Roman" w:cs="Times New Roman"/>
        </w:rPr>
      </w:pPr>
      <w:r>
        <w:rPr>
          <w:rFonts w:ascii="Times New Roman" w:hAnsi="Times New Roman" w:cs="Times New Roman"/>
        </w:rPr>
        <w:t>To understand the idea of “word of God” among the Israelites, it will be necessary to first of all understand what they mean by the “word of man”. As in most cultures of the ancient world, the Israelites attached a power to the spoken word. The power of the word is most clearly seen in human utterances like covenants, oaths or vows in which a man promises to keep an obligation. Again, in the OT, the power of the word appears very visibly in blessings and curses which are solemn utterances that affect the reality of the person to whom they are directed. A number of examples could be pointed to: When Isaac was deceived into blessing Jacob, even the deception does not invalidate the understanding of the power that came from the spoken word because “the blessing is a release of psychic energy which cannot be recaptured and delivered to the proper destinatary”.</w:t>
      </w:r>
      <w:r>
        <w:rPr>
          <w:rStyle w:val="FootnoteReference"/>
          <w:rFonts w:ascii="Times New Roman" w:hAnsi="Times New Roman" w:cs="Times New Roman"/>
        </w:rPr>
        <w:footnoteReference w:id="15"/>
      </w:r>
      <w:r>
        <w:rPr>
          <w:rFonts w:ascii="Times New Roman" w:hAnsi="Times New Roman" w:cs="Times New Roman"/>
        </w:rPr>
        <w:t xml:space="preserve"> This invariably means that the person who blessing makes himself a part of his word. A similar reality of the power of the word could be found in the deception that Jacob himself suffered in Gen 29:20-27 in the misdirection of a marriage covenant which obliges him to serve another seven years for the wife he desired. The words he uttered stood as a witness against him. </w:t>
      </w:r>
    </w:p>
    <w:p w:rsidR="003C7A0D" w:rsidRDefault="003C7A0D" w:rsidP="00CE2846">
      <w:pPr>
        <w:jc w:val="both"/>
        <w:rPr>
          <w:rFonts w:ascii="Times New Roman" w:hAnsi="Times New Roman" w:cs="Times New Roman"/>
        </w:rPr>
      </w:pPr>
    </w:p>
    <w:p w:rsidR="00C473C4" w:rsidRDefault="003C7A0D" w:rsidP="00CE2846">
      <w:pPr>
        <w:jc w:val="both"/>
        <w:rPr>
          <w:rFonts w:ascii="Times New Roman" w:hAnsi="Times New Roman" w:cs="Times New Roman"/>
        </w:rPr>
      </w:pPr>
      <w:r>
        <w:rPr>
          <w:rFonts w:ascii="Times New Roman" w:hAnsi="Times New Roman" w:cs="Times New Roman"/>
        </w:rPr>
        <w:t xml:space="preserve">What is said of blessings could also be said regarding curses. In </w:t>
      </w:r>
      <w:proofErr w:type="spellStart"/>
      <w:r>
        <w:rPr>
          <w:rFonts w:ascii="Times New Roman" w:hAnsi="Times New Roman" w:cs="Times New Roman"/>
        </w:rPr>
        <w:t>Judg</w:t>
      </w:r>
      <w:proofErr w:type="spellEnd"/>
      <w:r>
        <w:rPr>
          <w:rFonts w:ascii="Times New Roman" w:hAnsi="Times New Roman" w:cs="Times New Roman"/>
        </w:rPr>
        <w:t xml:space="preserve"> 17:1-2, the mother of Micah of Ephraim cursed the thief who stole her silver. Micah who stole the silver restored it in fear of the curse. However, even this restitution could not remove the curse. All the mother could do was to grant a blessing that neutralizes the curse. </w:t>
      </w:r>
      <w:r w:rsidRPr="003C7A0D">
        <w:rPr>
          <w:rFonts w:ascii="Times New Roman" w:hAnsi="Times New Roman" w:cs="Times New Roman"/>
        </w:rPr>
        <w:t xml:space="preserve">Other examples exist with the naming of things or a person (cf. 2 Kgs 24:17) where the giver of the name exercises a sort of authority of the thing which is named. </w:t>
      </w:r>
      <w:r>
        <w:rPr>
          <w:rFonts w:ascii="Times New Roman" w:hAnsi="Times New Roman" w:cs="Times New Roman"/>
        </w:rPr>
        <w:t>These examples illustrate that the word, from the perspective of the OT was a dynamic reality which is rooted in the dynamism of the personal will of the one who speaks the word.</w:t>
      </w:r>
    </w:p>
    <w:p w:rsidR="00C473C4" w:rsidRDefault="00C473C4" w:rsidP="00CE2846">
      <w:pPr>
        <w:jc w:val="both"/>
        <w:rPr>
          <w:rFonts w:ascii="Times New Roman" w:hAnsi="Times New Roman" w:cs="Times New Roman"/>
        </w:rPr>
      </w:pPr>
    </w:p>
    <w:p w:rsidR="003C7A0D" w:rsidRDefault="003C7A0D" w:rsidP="00CE2846">
      <w:pPr>
        <w:jc w:val="both"/>
        <w:rPr>
          <w:rFonts w:ascii="Times New Roman" w:hAnsi="Times New Roman" w:cs="Times New Roman"/>
        </w:rPr>
      </w:pPr>
      <w:r>
        <w:rPr>
          <w:rFonts w:ascii="Times New Roman" w:hAnsi="Times New Roman" w:cs="Times New Roman"/>
        </w:rPr>
        <w:t>The Word of God (Yhwh)</w:t>
      </w:r>
    </w:p>
    <w:p w:rsidR="003C7A0D" w:rsidRDefault="003C7A0D" w:rsidP="00CE2846">
      <w:pPr>
        <w:jc w:val="both"/>
        <w:rPr>
          <w:rFonts w:ascii="Times New Roman" w:hAnsi="Times New Roman" w:cs="Times New Roman"/>
        </w:rPr>
      </w:pPr>
    </w:p>
    <w:p w:rsidR="003C7A0D" w:rsidRDefault="003C7A0D" w:rsidP="00CE2846">
      <w:pPr>
        <w:jc w:val="both"/>
        <w:rPr>
          <w:rFonts w:ascii="Times New Roman" w:hAnsi="Times New Roman" w:cs="Times New Roman"/>
        </w:rPr>
      </w:pPr>
      <w:r>
        <w:rPr>
          <w:rFonts w:ascii="Times New Roman" w:hAnsi="Times New Roman" w:cs="Times New Roman"/>
        </w:rPr>
        <w:t xml:space="preserve">In the OT, Yhwh’s word appears in different dimensions and configurations. We find the word of Yhwh in his creative activities, in prophetic oracles pronounced by prophets on behalf of Yhwh and the Word as Law. However, we must not forget that the entire canon of the OT is considered the spoken word of God. However, we deal with those places which make a direct reference to God as the giver of the word. </w:t>
      </w:r>
    </w:p>
    <w:p w:rsidR="00C473C4" w:rsidRDefault="00C473C4" w:rsidP="00CE2846">
      <w:pPr>
        <w:jc w:val="both"/>
        <w:rPr>
          <w:rFonts w:ascii="Times New Roman" w:hAnsi="Times New Roman" w:cs="Times New Roman"/>
        </w:rPr>
      </w:pPr>
    </w:p>
    <w:p w:rsidR="00C473C4" w:rsidRDefault="00C473C4" w:rsidP="00CE2846">
      <w:pPr>
        <w:jc w:val="both"/>
        <w:rPr>
          <w:rFonts w:ascii="Times New Roman" w:hAnsi="Times New Roman" w:cs="Times New Roman"/>
        </w:rPr>
      </w:pPr>
      <w:r>
        <w:rPr>
          <w:rFonts w:ascii="Times New Roman" w:hAnsi="Times New Roman" w:cs="Times New Roman"/>
        </w:rPr>
        <w:t>The Creative Word of God</w:t>
      </w:r>
    </w:p>
    <w:p w:rsidR="00C473C4" w:rsidRDefault="00C473C4" w:rsidP="00CE2846">
      <w:pPr>
        <w:jc w:val="both"/>
        <w:rPr>
          <w:rFonts w:ascii="Times New Roman" w:hAnsi="Times New Roman" w:cs="Times New Roman"/>
        </w:rPr>
      </w:pPr>
    </w:p>
    <w:p w:rsidR="00C473C4" w:rsidRDefault="00C473C4" w:rsidP="00CE2846">
      <w:pPr>
        <w:jc w:val="both"/>
        <w:rPr>
          <w:rFonts w:ascii="Times New Roman" w:hAnsi="Times New Roman" w:cs="Times New Roman"/>
        </w:rPr>
      </w:pPr>
      <w:r>
        <w:rPr>
          <w:rFonts w:ascii="Times New Roman" w:hAnsi="Times New Roman" w:cs="Times New Roman"/>
        </w:rPr>
        <w:t>The creative word of God occurs in the first book of the canon Genesis but it is considered a literarily late phenomenon in the Hebrew Bible. We find the creative word of God in the creation story in Gen 1 where God brought everything into being with the power of his words. The verb to say used in the creation account is the verb “amar” to “speak” or to “say”. Perhaps it is the creation account of Genesis that lets us see the dynamic power of a pronounced word in its most remarkable fashion. God did not need to “work” in order to bring the entire creation into being, He only needed to “speak” in order to call creation into being. In this manner, the creation account of Genesis differs substantially from a similar account of creation in other Mesopotamian creation myth. In this account Mesopotamian account, the god Marduk created with his “work” and not his word. The emphasis on the creative word in Genesis is represented in other parts of the OT especially the Prophets and the Psalms. “In Isa 40:26, to call the hosts of heaven by name is to bring them into being”.</w:t>
      </w:r>
      <w:r>
        <w:rPr>
          <w:rStyle w:val="FootnoteReference"/>
          <w:rFonts w:ascii="Times New Roman" w:hAnsi="Times New Roman" w:cs="Times New Roman"/>
        </w:rPr>
        <w:footnoteReference w:id="16"/>
      </w:r>
      <w:r>
        <w:rPr>
          <w:rFonts w:ascii="Times New Roman" w:hAnsi="Times New Roman" w:cs="Times New Roman"/>
        </w:rPr>
        <w:t xml:space="preserve"> The same can also be said of Isa 48:13. There is however, an account of creation that shows divine “work” rather than divine “word” found in Gen 2:7. The hand of the workman appears also in Isa 40:12, 22; 48:13. However, the idea of God who worked to bring about creation is an older Israelite conception of God’s creative activities which was superseded by the newer conception of God who created through the words of His mouth. </w:t>
      </w:r>
    </w:p>
    <w:p w:rsidR="00C473C4" w:rsidRDefault="00C473C4" w:rsidP="00CE2846">
      <w:pPr>
        <w:jc w:val="both"/>
        <w:rPr>
          <w:rFonts w:ascii="Times New Roman" w:hAnsi="Times New Roman" w:cs="Times New Roman"/>
        </w:rPr>
      </w:pPr>
    </w:p>
    <w:p w:rsidR="00C473C4" w:rsidRDefault="00C473C4" w:rsidP="00CE2846">
      <w:pPr>
        <w:jc w:val="both"/>
        <w:rPr>
          <w:rFonts w:ascii="Times New Roman" w:hAnsi="Times New Roman" w:cs="Times New Roman"/>
        </w:rPr>
      </w:pPr>
      <w:r>
        <w:rPr>
          <w:rFonts w:ascii="Times New Roman" w:hAnsi="Times New Roman" w:cs="Times New Roman"/>
        </w:rPr>
        <w:t>The Prophetic Word of God</w:t>
      </w:r>
    </w:p>
    <w:p w:rsidR="00C473C4" w:rsidRDefault="00C473C4" w:rsidP="00CE2846">
      <w:pPr>
        <w:jc w:val="both"/>
        <w:rPr>
          <w:rFonts w:ascii="Times New Roman" w:hAnsi="Times New Roman" w:cs="Times New Roman"/>
        </w:rPr>
      </w:pPr>
    </w:p>
    <w:p w:rsidR="00C473C4" w:rsidRDefault="00C473C4" w:rsidP="00CE2846">
      <w:pPr>
        <w:jc w:val="both"/>
        <w:rPr>
          <w:rFonts w:ascii="Times New Roman" w:hAnsi="Times New Roman" w:cs="Times New Roman"/>
        </w:rPr>
      </w:pPr>
      <w:r>
        <w:rPr>
          <w:rFonts w:ascii="Times New Roman" w:hAnsi="Times New Roman" w:cs="Times New Roman"/>
        </w:rPr>
        <w:t>Prophetic activities are defined by the “word of God”. First, the messenger formula of most prophets is: “</w:t>
      </w:r>
      <w:proofErr w:type="spellStart"/>
      <w:r w:rsidRPr="00C473C4">
        <w:rPr>
          <w:rFonts w:ascii="Times New Roman" w:hAnsi="Times New Roman" w:cs="Times New Roman"/>
          <w:i/>
        </w:rPr>
        <w:t>coh</w:t>
      </w:r>
      <w:proofErr w:type="spellEnd"/>
      <w:r w:rsidRPr="00C473C4">
        <w:rPr>
          <w:rFonts w:ascii="Times New Roman" w:hAnsi="Times New Roman" w:cs="Times New Roman"/>
          <w:i/>
        </w:rPr>
        <w:t xml:space="preserve"> amar Adonai</w:t>
      </w:r>
      <w:r>
        <w:rPr>
          <w:rFonts w:ascii="Times New Roman" w:hAnsi="Times New Roman" w:cs="Times New Roman"/>
        </w:rPr>
        <w:t>”, “thus says the Lord”. This messenger formula is complemented by another prophetic word reception formula “</w:t>
      </w:r>
      <w:proofErr w:type="spellStart"/>
      <w:r w:rsidRPr="00C473C4">
        <w:rPr>
          <w:rFonts w:ascii="Times New Roman" w:hAnsi="Times New Roman" w:cs="Times New Roman"/>
          <w:i/>
        </w:rPr>
        <w:t>wehi</w:t>
      </w:r>
      <w:proofErr w:type="spellEnd"/>
      <w:r w:rsidRPr="00C473C4">
        <w:rPr>
          <w:rFonts w:ascii="Times New Roman" w:hAnsi="Times New Roman" w:cs="Times New Roman"/>
          <w:i/>
        </w:rPr>
        <w:t xml:space="preserve"> dabar Adonai alai</w:t>
      </w:r>
      <w:r>
        <w:rPr>
          <w:rFonts w:ascii="Times New Roman" w:hAnsi="Times New Roman" w:cs="Times New Roman"/>
        </w:rPr>
        <w:t xml:space="preserve">” “and the word of the Lord came to me”. In prophetic call narratives, the mission of the different prophets </w:t>
      </w:r>
      <w:proofErr w:type="gramStart"/>
      <w:r>
        <w:rPr>
          <w:rFonts w:ascii="Times New Roman" w:hAnsi="Times New Roman" w:cs="Times New Roman"/>
        </w:rPr>
        <w:t>are</w:t>
      </w:r>
      <w:proofErr w:type="gramEnd"/>
      <w:r>
        <w:rPr>
          <w:rFonts w:ascii="Times New Roman" w:hAnsi="Times New Roman" w:cs="Times New Roman"/>
        </w:rPr>
        <w:t xml:space="preserve"> all </w:t>
      </w:r>
      <w:r w:rsidR="008441EB">
        <w:rPr>
          <w:rFonts w:ascii="Times New Roman" w:hAnsi="Times New Roman" w:cs="Times New Roman"/>
        </w:rPr>
        <w:t>centered</w:t>
      </w:r>
      <w:r>
        <w:rPr>
          <w:rFonts w:ascii="Times New Roman" w:hAnsi="Times New Roman" w:cs="Times New Roman"/>
        </w:rPr>
        <w:t xml:space="preserve"> around the word of God to be proclaimed or “speaking” on behalf of God. In the call of Moses in Exod 3 – 4, Moses was called to speak to </w:t>
      </w:r>
      <w:proofErr w:type="spellStart"/>
      <w:r>
        <w:rPr>
          <w:rFonts w:ascii="Times New Roman" w:hAnsi="Times New Roman" w:cs="Times New Roman"/>
        </w:rPr>
        <w:t>Pharoah</w:t>
      </w:r>
      <w:proofErr w:type="spellEnd"/>
      <w:r>
        <w:rPr>
          <w:rFonts w:ascii="Times New Roman" w:hAnsi="Times New Roman" w:cs="Times New Roman"/>
        </w:rPr>
        <w:t xml:space="preserve"> on behalf of God for the redemption of the people of Israel. One of the objections that Moses offered was an impediment of speech (Exod 4:10) for which he was given an assurance Exod 4:15 that Aaron who is more eloquent will be a mouth piece for him. In the call of Jeremiah in Jer 1:4-19, the Lord told Jeremiah that he “shall speak to them all that I command you” (Jer 1:7). In the call of Ezekiel, the prophet was asked to eat a scroll (Ezek 2:8-9). The scroll is a written word which the prophet, after consuming is meant to utter to the people as prophetic oracles regarding the fate of Judah in the early 6</w:t>
      </w:r>
      <w:r w:rsidRPr="00C473C4">
        <w:rPr>
          <w:rFonts w:ascii="Times New Roman" w:hAnsi="Times New Roman" w:cs="Times New Roman"/>
          <w:vertAlign w:val="superscript"/>
        </w:rPr>
        <w:t>th</w:t>
      </w:r>
      <w:r>
        <w:rPr>
          <w:rFonts w:ascii="Times New Roman" w:hAnsi="Times New Roman" w:cs="Times New Roman"/>
        </w:rPr>
        <w:t xml:space="preserve"> century BCE. In the call of Isaiah, the prophet’s mouth was purified with a burning coal (Isa 6:6-7) so he could speak the words of God. The prophetic vocation is a call to make the power of God’s word visible and operative in the life of the nation and the peoples to whom the prophet has been called to serve. For this reason</w:t>
      </w:r>
      <w:r w:rsidR="002933B7">
        <w:rPr>
          <w:rFonts w:ascii="Times New Roman" w:hAnsi="Times New Roman" w:cs="Times New Roman"/>
        </w:rPr>
        <w:t>,</w:t>
      </w:r>
      <w:r>
        <w:rPr>
          <w:rFonts w:ascii="Times New Roman" w:hAnsi="Times New Roman" w:cs="Times New Roman"/>
        </w:rPr>
        <w:t xml:space="preserve"> many prophetic oracles are framed with two formulas; “thus says the Lord” at the beginning of </w:t>
      </w:r>
      <w:r>
        <w:rPr>
          <w:rFonts w:ascii="Times New Roman" w:hAnsi="Times New Roman" w:cs="Times New Roman"/>
        </w:rPr>
        <w:lastRenderedPageBreak/>
        <w:t>the oracle and “says the Lord” (</w:t>
      </w:r>
      <w:proofErr w:type="spellStart"/>
      <w:r w:rsidRPr="002933B7">
        <w:rPr>
          <w:rFonts w:ascii="Times New Roman" w:hAnsi="Times New Roman" w:cs="Times New Roman"/>
          <w:i/>
        </w:rPr>
        <w:t>neum</w:t>
      </w:r>
      <w:proofErr w:type="spellEnd"/>
      <w:r w:rsidRPr="002933B7">
        <w:rPr>
          <w:rFonts w:ascii="Times New Roman" w:hAnsi="Times New Roman" w:cs="Times New Roman"/>
          <w:i/>
        </w:rPr>
        <w:t xml:space="preserve"> </w:t>
      </w:r>
      <w:proofErr w:type="spellStart"/>
      <w:r w:rsidRPr="002933B7">
        <w:rPr>
          <w:rFonts w:ascii="Times New Roman" w:hAnsi="Times New Roman" w:cs="Times New Roman"/>
          <w:i/>
        </w:rPr>
        <w:t>adonai</w:t>
      </w:r>
      <w:proofErr w:type="spellEnd"/>
      <w:r>
        <w:rPr>
          <w:rFonts w:ascii="Times New Roman" w:hAnsi="Times New Roman" w:cs="Times New Roman"/>
        </w:rPr>
        <w:t xml:space="preserve">) at the end of it. Furthermore, the criterion of prophetic authenticity given in Deut 18:21-22 is a criterion that refers to the dynamic power of the prophetic word of God as that which can bring into reality, the oracles that have be spoken. This criterion is the criterion of fulfilment which says that for one to know the authentic prophet, then the words proclaimed by that prophet has to come true for people to know and understand that that prophet has been called and commissioned by God. </w:t>
      </w:r>
      <w:r w:rsidR="005E0721">
        <w:rPr>
          <w:rFonts w:ascii="Times New Roman" w:hAnsi="Times New Roman" w:cs="Times New Roman"/>
        </w:rPr>
        <w:t>This verse and so many others like it (cf. Jer 28:8-10) assume that the prophetic word of God is capable of bringing about a reality which indicates the power of the God who has sent and commissioned the prophet.</w:t>
      </w:r>
    </w:p>
    <w:p w:rsidR="005E0721" w:rsidRDefault="005E0721" w:rsidP="00CE2846">
      <w:pPr>
        <w:jc w:val="both"/>
        <w:rPr>
          <w:rFonts w:ascii="Times New Roman" w:hAnsi="Times New Roman" w:cs="Times New Roman"/>
        </w:rPr>
      </w:pPr>
    </w:p>
    <w:p w:rsidR="005E0721" w:rsidRDefault="005E0721" w:rsidP="00CE2846">
      <w:pPr>
        <w:jc w:val="both"/>
        <w:rPr>
          <w:rFonts w:ascii="Times New Roman" w:hAnsi="Times New Roman" w:cs="Times New Roman"/>
        </w:rPr>
      </w:pPr>
      <w:r>
        <w:rPr>
          <w:rFonts w:ascii="Times New Roman" w:hAnsi="Times New Roman" w:cs="Times New Roman"/>
        </w:rPr>
        <w:t>The Law as the Word of God</w:t>
      </w:r>
    </w:p>
    <w:p w:rsidR="005E0721" w:rsidRDefault="005E0721" w:rsidP="00CE2846">
      <w:pPr>
        <w:jc w:val="both"/>
        <w:rPr>
          <w:rFonts w:ascii="Times New Roman" w:hAnsi="Times New Roman" w:cs="Times New Roman"/>
        </w:rPr>
      </w:pPr>
    </w:p>
    <w:p w:rsidR="005E0721" w:rsidRDefault="005E0721" w:rsidP="00CE2846">
      <w:pPr>
        <w:jc w:val="both"/>
        <w:rPr>
          <w:rFonts w:ascii="Times New Roman" w:hAnsi="Times New Roman" w:cs="Times New Roman"/>
        </w:rPr>
      </w:pPr>
      <w:r>
        <w:rPr>
          <w:rFonts w:ascii="Times New Roman" w:hAnsi="Times New Roman" w:cs="Times New Roman"/>
        </w:rPr>
        <w:t xml:space="preserve">Apodictic laws are sometimes designated with the term “word” in the OT. Hence, sometimes the term “word” substitutes “code” or “law” in the OT. For example, the ten commandments were in fact </w:t>
      </w:r>
      <w:r w:rsidR="003233C2">
        <w:rPr>
          <w:rFonts w:ascii="Times New Roman" w:hAnsi="Times New Roman" w:cs="Times New Roman"/>
        </w:rPr>
        <w:t>referred</w:t>
      </w:r>
      <w:r>
        <w:rPr>
          <w:rFonts w:ascii="Times New Roman" w:hAnsi="Times New Roman" w:cs="Times New Roman"/>
        </w:rPr>
        <w:t xml:space="preserve"> to as the “words</w:t>
      </w:r>
      <w:r w:rsidR="00E54506">
        <w:rPr>
          <w:rFonts w:ascii="Times New Roman" w:hAnsi="Times New Roman" w:cs="Times New Roman"/>
        </w:rPr>
        <w:t xml:space="preserve"> of the Covenant</w:t>
      </w:r>
      <w:r>
        <w:rPr>
          <w:rFonts w:ascii="Times New Roman" w:hAnsi="Times New Roman" w:cs="Times New Roman"/>
        </w:rPr>
        <w:t>” in Exod 34:28</w:t>
      </w:r>
      <w:r w:rsidR="00E54506">
        <w:rPr>
          <w:rFonts w:ascii="Times New Roman" w:hAnsi="Times New Roman" w:cs="Times New Roman"/>
        </w:rPr>
        <w:t xml:space="preserve">. Similarly, these ten commandments are described as the “covenant” in Deut 4:13. The Deuteronomic movement sought to make the revealed word of God into an entire code of life and this is why the book of Deuteronomy extends the conception of word to the entire law given in the book: “No one is to add to or </w:t>
      </w:r>
      <w:proofErr w:type="spellStart"/>
      <w:r w:rsidR="00E54506">
        <w:rPr>
          <w:rFonts w:ascii="Times New Roman" w:hAnsi="Times New Roman" w:cs="Times New Roman"/>
        </w:rPr>
        <w:t>substract</w:t>
      </w:r>
      <w:proofErr w:type="spellEnd"/>
      <w:r w:rsidR="00E54506">
        <w:rPr>
          <w:rFonts w:ascii="Times New Roman" w:hAnsi="Times New Roman" w:cs="Times New Roman"/>
        </w:rPr>
        <w:t xml:space="preserve"> from this word (Deut 4:2). Furthermore, this word is described as a word which Yhwh has brought near to Israel and put in the mouth and heart of Israel to keep and observe (Deut 30:14). The law which is “word” is described as the life of Israel and that man does not live by bread alone but by every word that proceeds from the mouth of God. </w:t>
      </w:r>
    </w:p>
    <w:p w:rsidR="00E54506" w:rsidRDefault="00E54506" w:rsidP="00CE2846">
      <w:pPr>
        <w:jc w:val="both"/>
        <w:rPr>
          <w:rFonts w:ascii="Times New Roman" w:hAnsi="Times New Roman" w:cs="Times New Roman"/>
        </w:rPr>
      </w:pPr>
    </w:p>
    <w:p w:rsidR="00E54506" w:rsidRPr="00ED5617" w:rsidRDefault="00E54506" w:rsidP="00CE2846">
      <w:pPr>
        <w:jc w:val="both"/>
        <w:rPr>
          <w:rFonts w:ascii="Times New Roman" w:hAnsi="Times New Roman" w:cs="Times New Roman"/>
        </w:rPr>
      </w:pPr>
      <w:r w:rsidRPr="00ED5617">
        <w:rPr>
          <w:rFonts w:ascii="Times New Roman" w:hAnsi="Times New Roman" w:cs="Times New Roman"/>
        </w:rPr>
        <w:t>This Deuteronomic conception is only a step away from the word as the word of God as a sacred book. Indeed, Deuteronomy gave a glimpse of the idea of that the entire body of God’s revelation could be put down as a book with a perpetual actuality for every generation. In Deut 3</w:t>
      </w:r>
      <w:r w:rsidR="00ED5617" w:rsidRPr="00ED5617">
        <w:rPr>
          <w:rFonts w:ascii="Times New Roman" w:hAnsi="Times New Roman" w:cs="Times New Roman"/>
        </w:rPr>
        <w:t>1. The consignment of the law into a written document is signaled twice within Deut 31 (v.9, 24). However, the more significant of these is Deut 31:24 where the writing is adverbially qualified with the phrase</w:t>
      </w:r>
      <w:r w:rsidR="00ED5617" w:rsidRPr="00ED5617">
        <w:rPr>
          <w:rFonts w:ascii="Times New Roman" w:hAnsi="Times New Roman" w:cs="Times New Roman"/>
          <w:sz w:val="20"/>
          <w:szCs w:val="20"/>
        </w:rPr>
        <w:t>‎</w:t>
      </w:r>
      <w:r w:rsidR="00ED5617" w:rsidRPr="00ED5617">
        <w:rPr>
          <w:rFonts w:ascii="Times New Roman" w:hAnsi="Times New Roman" w:cs="Times New Roman"/>
          <w:rtl/>
        </w:rPr>
        <w:t xml:space="preserve">עַ֖ד תֻּמָּֽם </w:t>
      </w:r>
      <w:r w:rsidR="00ED5617" w:rsidRPr="00ED5617">
        <w:rPr>
          <w:rFonts w:ascii="Times New Roman" w:hAnsi="Times New Roman" w:cs="Times New Roman"/>
        </w:rPr>
        <w:t xml:space="preserve"> (to the very end). “To the very end” signifies the culmination of the motif of consignment of the law into writing in Deuteronomy and how this signals a decisive change in the way laws are made in Deuteronomy. there could be no doubt it seeks to project a sense of completeness that results from the written document. Deut 31 further conceives the written law as a witness to be read publicly (Deut 31:10). Their public recitation implies that even contents of the book that do not have a direct implication for their immediate social context is as binding as those that immediately concern them. Hence, the documents acquire a perpetual actuality for every generation. This passage contains the ideological kernel of what has come to be identified within the history of Judeo-Christian religion as “scripture”.</w:t>
      </w:r>
    </w:p>
    <w:sectPr w:rsidR="00E54506" w:rsidRPr="00ED5617" w:rsidSect="0032175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1C2D" w:rsidRDefault="004B1C2D" w:rsidP="00CE2846">
      <w:r>
        <w:separator/>
      </w:r>
    </w:p>
  </w:endnote>
  <w:endnote w:type="continuationSeparator" w:id="0">
    <w:p w:rsidR="004B1C2D" w:rsidRDefault="004B1C2D" w:rsidP="00CE2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1C2D" w:rsidRDefault="004B1C2D" w:rsidP="00CE2846">
      <w:r>
        <w:separator/>
      </w:r>
    </w:p>
  </w:footnote>
  <w:footnote w:type="continuationSeparator" w:id="0">
    <w:p w:rsidR="004B1C2D" w:rsidRDefault="004B1C2D" w:rsidP="00CE2846">
      <w:r>
        <w:continuationSeparator/>
      </w:r>
    </w:p>
  </w:footnote>
  <w:footnote w:id="1">
    <w:p w:rsidR="00CE2846" w:rsidRPr="00CE2846" w:rsidRDefault="00CE2846">
      <w:pPr>
        <w:pStyle w:val="FootnoteText"/>
        <w:rPr>
          <w:rFonts w:ascii="Times New Roman" w:hAnsi="Times New Roman" w:cs="Times New Roman"/>
        </w:rPr>
      </w:pPr>
      <w:r w:rsidRPr="00CE2846">
        <w:rPr>
          <w:rStyle w:val="FootnoteReference"/>
          <w:rFonts w:ascii="Times New Roman" w:hAnsi="Times New Roman" w:cs="Times New Roman"/>
        </w:rPr>
        <w:footnoteRef/>
      </w:r>
      <w:r w:rsidRPr="00CE2846">
        <w:rPr>
          <w:rFonts w:ascii="Times New Roman" w:hAnsi="Times New Roman" w:cs="Times New Roman"/>
        </w:rPr>
        <w:t xml:space="preserve"> Note that the word ruah occurs a total of 378 times in the OT. This invariably means that not all cases of its occurrence could be translated with “spirit”. </w:t>
      </w:r>
    </w:p>
  </w:footnote>
  <w:footnote w:id="2">
    <w:p w:rsidR="00CE2846" w:rsidRPr="00CE2846" w:rsidRDefault="00CE2846">
      <w:pPr>
        <w:pStyle w:val="FootnoteText"/>
        <w:rPr>
          <w:rFonts w:ascii="Times New Roman" w:hAnsi="Times New Roman" w:cs="Times New Roman"/>
        </w:rPr>
      </w:pPr>
      <w:r w:rsidRPr="00CE2846">
        <w:rPr>
          <w:rStyle w:val="FootnoteReference"/>
          <w:rFonts w:ascii="Times New Roman" w:hAnsi="Times New Roman" w:cs="Times New Roman"/>
        </w:rPr>
        <w:footnoteRef/>
      </w:r>
      <w:r w:rsidRPr="00CE2846">
        <w:rPr>
          <w:rFonts w:ascii="Times New Roman" w:hAnsi="Times New Roman" w:cs="Times New Roman"/>
        </w:rPr>
        <w:t xml:space="preserve"> Tengström, “</w:t>
      </w:r>
      <w:r w:rsidRPr="00CE2846">
        <w:rPr>
          <w:rFonts w:ascii="Times New Roman" w:hAnsi="Times New Roman" w:cs="Times New Roman"/>
          <w:rtl/>
          <w:lang w:bidi="he-IL"/>
        </w:rPr>
        <w:t>רוּחַ</w:t>
      </w:r>
      <w:r w:rsidRPr="00CE2846">
        <w:rPr>
          <w:rFonts w:ascii="Times New Roman" w:hAnsi="Times New Roman" w:cs="Times New Roman"/>
        </w:rPr>
        <w:t xml:space="preserve">”, </w:t>
      </w:r>
      <w:r w:rsidRPr="00CE2846">
        <w:rPr>
          <w:rFonts w:ascii="Times New Roman" w:hAnsi="Times New Roman" w:cs="Times New Roman"/>
          <w:i/>
        </w:rPr>
        <w:t>TDOT</w:t>
      </w:r>
      <w:r w:rsidRPr="00CE2846">
        <w:rPr>
          <w:rFonts w:ascii="Times New Roman" w:hAnsi="Times New Roman" w:cs="Times New Roman"/>
        </w:rPr>
        <w:t xml:space="preserve"> XIII, 368.</w:t>
      </w:r>
    </w:p>
  </w:footnote>
  <w:footnote w:id="3">
    <w:p w:rsidR="00ED5617" w:rsidRDefault="00ED5617" w:rsidP="00ED5617">
      <w:pPr>
        <w:pStyle w:val="NormalWeb"/>
        <w:jc w:val="both"/>
      </w:pPr>
      <w:r>
        <w:rPr>
          <w:rStyle w:val="FootnoteReference"/>
        </w:rPr>
        <w:footnoteRef/>
      </w:r>
      <w:r>
        <w:t xml:space="preserve"> </w:t>
      </w:r>
      <w:r>
        <w:rPr>
          <w:rFonts w:ascii="Times" w:hAnsi="Times"/>
          <w:sz w:val="18"/>
          <w:szCs w:val="18"/>
        </w:rPr>
        <w:t xml:space="preserve">The primary question is not whether to translate </w:t>
      </w:r>
      <w:proofErr w:type="spellStart"/>
      <w:r>
        <w:rPr>
          <w:rFonts w:ascii="Times" w:hAnsi="Times"/>
          <w:i/>
          <w:iCs/>
          <w:sz w:val="18"/>
          <w:szCs w:val="18"/>
        </w:rPr>
        <w:t>rua</w:t>
      </w:r>
      <w:proofErr w:type="spellEnd"/>
      <w:r>
        <w:rPr>
          <w:rFonts w:ascii="Times" w:hAnsi="Times"/>
          <w:i/>
          <w:iCs/>
          <w:sz w:val="18"/>
          <w:szCs w:val="18"/>
        </w:rPr>
        <w:t xml:space="preserve">(l </w:t>
      </w:r>
      <w:r>
        <w:rPr>
          <w:rFonts w:ascii="Times" w:hAnsi="Times"/>
          <w:sz w:val="18"/>
          <w:szCs w:val="18"/>
        </w:rPr>
        <w:t xml:space="preserve">as "spirit" or "wind"; even so, the translation "spirit" is less appropriate, because it might suggest the notion of a vital cosmos, otherwise alien to the OT, or the notion of a dis- </w:t>
      </w:r>
      <w:proofErr w:type="spellStart"/>
      <w:r>
        <w:rPr>
          <w:rFonts w:ascii="Times" w:hAnsi="Times"/>
          <w:sz w:val="18"/>
          <w:szCs w:val="18"/>
        </w:rPr>
        <w:t>tinct</w:t>
      </w:r>
      <w:proofErr w:type="spellEnd"/>
      <w:r>
        <w:rPr>
          <w:rFonts w:ascii="Times" w:hAnsi="Times"/>
          <w:sz w:val="18"/>
          <w:szCs w:val="18"/>
        </w:rPr>
        <w:t xml:space="preserve"> being, as such inconceivable in the OT alongside </w:t>
      </w:r>
      <w:proofErr w:type="spellStart"/>
      <w:r>
        <w:rPr>
          <w:rFonts w:ascii="Times" w:hAnsi="Times"/>
          <w:i/>
          <w:iCs/>
          <w:sz w:val="18"/>
          <w:szCs w:val="18"/>
        </w:rPr>
        <w:t>elohim</w:t>
      </w:r>
      <w:proofErr w:type="spellEnd"/>
      <w:r>
        <w:rPr>
          <w:rFonts w:ascii="Times" w:hAnsi="Times"/>
          <w:i/>
          <w:iCs/>
          <w:sz w:val="18"/>
          <w:szCs w:val="18"/>
        </w:rPr>
        <w:t>.</w:t>
      </w:r>
      <w:r>
        <w:rPr>
          <w:rFonts w:ascii="Helvetica" w:hAnsi="Helvetica"/>
          <w:i/>
          <w:iCs/>
          <w:position w:val="4"/>
          <w:sz w:val="10"/>
          <w:szCs w:val="10"/>
        </w:rPr>
        <w:t xml:space="preserve">71 </w:t>
      </w:r>
      <w:r>
        <w:rPr>
          <w:rFonts w:ascii="Times" w:hAnsi="Times"/>
          <w:sz w:val="18"/>
          <w:szCs w:val="18"/>
        </w:rPr>
        <w:t xml:space="preserve">The crucial question, though, is whether to interpret the construct phrase as a genitive ("God's </w:t>
      </w:r>
      <w:proofErr w:type="spellStart"/>
      <w:r>
        <w:rPr>
          <w:rFonts w:ascii="Times" w:hAnsi="Times"/>
          <w:sz w:val="18"/>
          <w:szCs w:val="18"/>
        </w:rPr>
        <w:t>windlbreath</w:t>
      </w:r>
      <w:proofErr w:type="spellEnd"/>
      <w:r>
        <w:rPr>
          <w:rFonts w:ascii="Times" w:hAnsi="Times"/>
          <w:sz w:val="18"/>
          <w:szCs w:val="18"/>
        </w:rPr>
        <w:t xml:space="preserve">") or a superlative ("a mighty wind"). A major argument for the latter is that God's </w:t>
      </w:r>
      <w:proofErr w:type="spellStart"/>
      <w:r>
        <w:rPr>
          <w:rFonts w:ascii="Times" w:hAnsi="Times"/>
          <w:sz w:val="18"/>
          <w:szCs w:val="18"/>
        </w:rPr>
        <w:t>cre</w:t>
      </w:r>
      <w:proofErr w:type="spellEnd"/>
      <w:r>
        <w:rPr>
          <w:rFonts w:ascii="Times" w:hAnsi="Times"/>
          <w:sz w:val="18"/>
          <w:szCs w:val="18"/>
        </w:rPr>
        <w:t xml:space="preserve">- </w:t>
      </w:r>
      <w:proofErr w:type="spellStart"/>
      <w:r>
        <w:rPr>
          <w:rFonts w:ascii="Times" w:hAnsi="Times"/>
          <w:sz w:val="18"/>
          <w:szCs w:val="18"/>
        </w:rPr>
        <w:t>ative</w:t>
      </w:r>
      <w:proofErr w:type="spellEnd"/>
      <w:r>
        <w:rPr>
          <w:rFonts w:ascii="Times" w:hAnsi="Times"/>
          <w:sz w:val="18"/>
          <w:szCs w:val="18"/>
        </w:rPr>
        <w:t xml:space="preserve"> word plays the active role in Gen. I, whereas the </w:t>
      </w:r>
      <w:r>
        <w:rPr>
          <w:rFonts w:ascii="Times" w:hAnsi="Times"/>
          <w:i/>
          <w:iCs/>
          <w:sz w:val="18"/>
          <w:szCs w:val="18"/>
        </w:rPr>
        <w:t xml:space="preserve">ruah </w:t>
      </w:r>
      <w:proofErr w:type="spellStart"/>
      <w:r>
        <w:rPr>
          <w:rFonts w:ascii="Times" w:hAnsi="Times"/>
          <w:i/>
          <w:iCs/>
          <w:sz w:val="18"/>
          <w:szCs w:val="18"/>
        </w:rPr>
        <w:t>elohim</w:t>
      </w:r>
      <w:proofErr w:type="spellEnd"/>
      <w:r>
        <w:rPr>
          <w:rFonts w:ascii="Times" w:hAnsi="Times"/>
          <w:i/>
          <w:iCs/>
          <w:sz w:val="18"/>
          <w:szCs w:val="18"/>
        </w:rPr>
        <w:t xml:space="preserve"> </w:t>
      </w:r>
      <w:r>
        <w:rPr>
          <w:rFonts w:ascii="Times" w:hAnsi="Times"/>
          <w:sz w:val="18"/>
          <w:szCs w:val="18"/>
        </w:rPr>
        <w:t xml:space="preserve">has nothing to do with God's creative activity and therefore belongs to the chaos before creation, along with the primal deep. </w:t>
      </w:r>
    </w:p>
  </w:footnote>
  <w:footnote w:id="4">
    <w:p w:rsidR="00E91AEF" w:rsidRDefault="00E91AEF" w:rsidP="00E91AEF">
      <w:pPr>
        <w:pStyle w:val="FootnoteText"/>
      </w:pPr>
      <w:r>
        <w:rPr>
          <w:rStyle w:val="FootnoteReference"/>
        </w:rPr>
        <w:footnoteRef/>
      </w:r>
      <w:r>
        <w:t xml:space="preserve"> See </w:t>
      </w:r>
      <w:r w:rsidRPr="00CE2846">
        <w:rPr>
          <w:rFonts w:ascii="Times New Roman" w:hAnsi="Times New Roman" w:cs="Times New Roman"/>
        </w:rPr>
        <w:t>Tengström, “</w:t>
      </w:r>
      <w:r w:rsidRPr="00CE2846">
        <w:rPr>
          <w:rFonts w:ascii="Times New Roman" w:hAnsi="Times New Roman" w:cs="Times New Roman"/>
          <w:rtl/>
          <w:lang w:bidi="he-IL"/>
        </w:rPr>
        <w:t>רוּחַ</w:t>
      </w:r>
      <w:r w:rsidRPr="00CE2846">
        <w:rPr>
          <w:rFonts w:ascii="Times New Roman" w:hAnsi="Times New Roman" w:cs="Times New Roman"/>
        </w:rPr>
        <w:t xml:space="preserve">”, </w:t>
      </w:r>
      <w:r w:rsidRPr="00CE2846">
        <w:rPr>
          <w:rFonts w:ascii="Times New Roman" w:hAnsi="Times New Roman" w:cs="Times New Roman"/>
          <w:i/>
        </w:rPr>
        <w:t>TDOT</w:t>
      </w:r>
      <w:r w:rsidRPr="00CE2846">
        <w:rPr>
          <w:rFonts w:ascii="Times New Roman" w:hAnsi="Times New Roman" w:cs="Times New Roman"/>
        </w:rPr>
        <w:t xml:space="preserve"> XIII, 3</w:t>
      </w:r>
      <w:r>
        <w:rPr>
          <w:rFonts w:ascii="Times New Roman" w:hAnsi="Times New Roman" w:cs="Times New Roman"/>
        </w:rPr>
        <w:t>85.</w:t>
      </w:r>
    </w:p>
  </w:footnote>
  <w:footnote w:id="5">
    <w:p w:rsidR="00ED5617" w:rsidRDefault="00ED5617">
      <w:pPr>
        <w:pStyle w:val="FootnoteText"/>
      </w:pPr>
      <w:r>
        <w:rPr>
          <w:rStyle w:val="FootnoteReference"/>
        </w:rPr>
        <w:footnoteRef/>
      </w:r>
      <w:r>
        <w:t xml:space="preserve"> See </w:t>
      </w:r>
      <w:r w:rsidRPr="00CE2846">
        <w:rPr>
          <w:rFonts w:ascii="Times New Roman" w:hAnsi="Times New Roman" w:cs="Times New Roman"/>
        </w:rPr>
        <w:t>Tengström, “</w:t>
      </w:r>
      <w:r w:rsidRPr="00CE2846">
        <w:rPr>
          <w:rFonts w:ascii="Times New Roman" w:hAnsi="Times New Roman" w:cs="Times New Roman"/>
          <w:rtl/>
          <w:lang w:bidi="he-IL"/>
        </w:rPr>
        <w:t>רוּחַ</w:t>
      </w:r>
      <w:r w:rsidRPr="00CE2846">
        <w:rPr>
          <w:rFonts w:ascii="Times New Roman" w:hAnsi="Times New Roman" w:cs="Times New Roman"/>
        </w:rPr>
        <w:t xml:space="preserve">”, </w:t>
      </w:r>
      <w:r w:rsidRPr="00CE2846">
        <w:rPr>
          <w:rFonts w:ascii="Times New Roman" w:hAnsi="Times New Roman" w:cs="Times New Roman"/>
          <w:i/>
        </w:rPr>
        <w:t>TDOT</w:t>
      </w:r>
      <w:r w:rsidRPr="00CE2846">
        <w:rPr>
          <w:rFonts w:ascii="Times New Roman" w:hAnsi="Times New Roman" w:cs="Times New Roman"/>
        </w:rPr>
        <w:t xml:space="preserve"> XIII, 3</w:t>
      </w:r>
      <w:r>
        <w:rPr>
          <w:rFonts w:ascii="Times New Roman" w:hAnsi="Times New Roman" w:cs="Times New Roman"/>
        </w:rPr>
        <w:t>83.</w:t>
      </w:r>
    </w:p>
  </w:footnote>
  <w:footnote w:id="6">
    <w:p w:rsidR="00ED5617" w:rsidRDefault="00ED5617">
      <w:pPr>
        <w:pStyle w:val="FootnoteText"/>
      </w:pPr>
      <w:r>
        <w:rPr>
          <w:rStyle w:val="FootnoteReference"/>
        </w:rPr>
        <w:footnoteRef/>
      </w:r>
      <w:r>
        <w:t xml:space="preserve"> </w:t>
      </w:r>
      <w:r w:rsidRPr="00CE2846">
        <w:rPr>
          <w:rFonts w:ascii="Times New Roman" w:hAnsi="Times New Roman" w:cs="Times New Roman"/>
        </w:rPr>
        <w:t>Tengström, “</w:t>
      </w:r>
      <w:r w:rsidRPr="00CE2846">
        <w:rPr>
          <w:rFonts w:ascii="Times New Roman" w:hAnsi="Times New Roman" w:cs="Times New Roman"/>
          <w:rtl/>
          <w:lang w:bidi="he-IL"/>
        </w:rPr>
        <w:t>רוּחַ</w:t>
      </w:r>
      <w:r w:rsidRPr="00CE2846">
        <w:rPr>
          <w:rFonts w:ascii="Times New Roman" w:hAnsi="Times New Roman" w:cs="Times New Roman"/>
        </w:rPr>
        <w:t xml:space="preserve">”, </w:t>
      </w:r>
      <w:r w:rsidRPr="00CE2846">
        <w:rPr>
          <w:rFonts w:ascii="Times New Roman" w:hAnsi="Times New Roman" w:cs="Times New Roman"/>
          <w:i/>
        </w:rPr>
        <w:t>TDOT</w:t>
      </w:r>
      <w:r w:rsidRPr="00CE2846">
        <w:rPr>
          <w:rFonts w:ascii="Times New Roman" w:hAnsi="Times New Roman" w:cs="Times New Roman"/>
        </w:rPr>
        <w:t xml:space="preserve"> XIII, 3</w:t>
      </w:r>
      <w:r>
        <w:rPr>
          <w:rFonts w:ascii="Times New Roman" w:hAnsi="Times New Roman" w:cs="Times New Roman"/>
        </w:rPr>
        <w:t>84.</w:t>
      </w:r>
    </w:p>
  </w:footnote>
  <w:footnote w:id="7">
    <w:p w:rsidR="00ED5617" w:rsidRDefault="00ED5617">
      <w:pPr>
        <w:pStyle w:val="FootnoteText"/>
      </w:pPr>
      <w:r>
        <w:rPr>
          <w:rStyle w:val="FootnoteReference"/>
        </w:rPr>
        <w:footnoteRef/>
      </w:r>
      <w:r>
        <w:t xml:space="preserve"> </w:t>
      </w:r>
      <w:r w:rsidRPr="00CE2846">
        <w:rPr>
          <w:rFonts w:ascii="Times New Roman" w:hAnsi="Times New Roman" w:cs="Times New Roman"/>
        </w:rPr>
        <w:t>Tengström, “</w:t>
      </w:r>
      <w:r w:rsidRPr="00CE2846">
        <w:rPr>
          <w:rFonts w:ascii="Times New Roman" w:hAnsi="Times New Roman" w:cs="Times New Roman"/>
          <w:rtl/>
          <w:lang w:bidi="he-IL"/>
        </w:rPr>
        <w:t>רוּחַ</w:t>
      </w:r>
      <w:r w:rsidRPr="00CE2846">
        <w:rPr>
          <w:rFonts w:ascii="Times New Roman" w:hAnsi="Times New Roman" w:cs="Times New Roman"/>
        </w:rPr>
        <w:t xml:space="preserve">”, </w:t>
      </w:r>
      <w:r w:rsidRPr="00CE2846">
        <w:rPr>
          <w:rFonts w:ascii="Times New Roman" w:hAnsi="Times New Roman" w:cs="Times New Roman"/>
          <w:i/>
        </w:rPr>
        <w:t>TDOT</w:t>
      </w:r>
      <w:r w:rsidRPr="00CE2846">
        <w:rPr>
          <w:rFonts w:ascii="Times New Roman" w:hAnsi="Times New Roman" w:cs="Times New Roman"/>
        </w:rPr>
        <w:t xml:space="preserve"> XIII, 3</w:t>
      </w:r>
      <w:r>
        <w:rPr>
          <w:rFonts w:ascii="Times New Roman" w:hAnsi="Times New Roman" w:cs="Times New Roman"/>
        </w:rPr>
        <w:t>84.</w:t>
      </w:r>
    </w:p>
  </w:footnote>
  <w:footnote w:id="8">
    <w:p w:rsidR="00CE2846" w:rsidRPr="00CE2846" w:rsidRDefault="00CE2846" w:rsidP="00CE2846">
      <w:pPr>
        <w:rPr>
          <w:rFonts w:ascii="Times New Roman" w:hAnsi="Times New Roman" w:cs="Times New Roman"/>
          <w:sz w:val="20"/>
          <w:szCs w:val="20"/>
        </w:rPr>
      </w:pPr>
      <w:r w:rsidRPr="00CE2846">
        <w:rPr>
          <w:rFonts w:ascii="Times New Roman" w:hAnsi="Times New Roman" w:cs="Times New Roman"/>
          <w:i/>
          <w:sz w:val="20"/>
          <w:szCs w:val="20"/>
        </w:rPr>
        <w:t>cf.</w:t>
      </w:r>
      <w:r w:rsidRPr="00CE2846">
        <w:rPr>
          <w:rFonts w:ascii="Times New Roman" w:hAnsi="Times New Roman" w:cs="Times New Roman"/>
          <w:sz w:val="20"/>
          <w:szCs w:val="20"/>
        </w:rPr>
        <w:t xml:space="preserve"> </w:t>
      </w:r>
      <w:proofErr w:type="gramStart"/>
      <w:r w:rsidRPr="00CE2846">
        <w:rPr>
          <w:rFonts w:ascii="Times New Roman" w:hAnsi="Times New Roman" w:cs="Times New Roman"/>
          <w:i/>
          <w:sz w:val="20"/>
          <w:szCs w:val="20"/>
        </w:rPr>
        <w:t>confer</w:t>
      </w:r>
      <w:proofErr w:type="gramEnd"/>
      <w:r w:rsidRPr="00CE2846">
        <w:rPr>
          <w:rFonts w:ascii="Times New Roman" w:hAnsi="Times New Roman" w:cs="Times New Roman"/>
          <w:sz w:val="20"/>
          <w:szCs w:val="20"/>
        </w:rPr>
        <w:t>, compare.</w:t>
      </w:r>
    </w:p>
  </w:footnote>
  <w:footnote w:id="9">
    <w:p w:rsidR="00CE2846" w:rsidRPr="00CE2846" w:rsidRDefault="00CE2846" w:rsidP="00CE2846">
      <w:pPr>
        <w:rPr>
          <w:rFonts w:ascii="Times New Roman" w:hAnsi="Times New Roman" w:cs="Times New Roman"/>
          <w:sz w:val="20"/>
          <w:szCs w:val="20"/>
        </w:rPr>
      </w:pPr>
      <w:r w:rsidRPr="00CE2846">
        <w:rPr>
          <w:rFonts w:ascii="Times New Roman" w:hAnsi="Times New Roman" w:cs="Times New Roman"/>
          <w:i/>
          <w:sz w:val="20"/>
          <w:szCs w:val="20"/>
        </w:rPr>
        <w:t>cf.</w:t>
      </w:r>
      <w:r w:rsidRPr="00CE2846">
        <w:rPr>
          <w:rFonts w:ascii="Times New Roman" w:hAnsi="Times New Roman" w:cs="Times New Roman"/>
          <w:sz w:val="20"/>
          <w:szCs w:val="20"/>
        </w:rPr>
        <w:t xml:space="preserve"> </w:t>
      </w:r>
      <w:proofErr w:type="gramStart"/>
      <w:r w:rsidRPr="00CE2846">
        <w:rPr>
          <w:rFonts w:ascii="Times New Roman" w:hAnsi="Times New Roman" w:cs="Times New Roman"/>
          <w:i/>
          <w:sz w:val="20"/>
          <w:szCs w:val="20"/>
        </w:rPr>
        <w:t>confer</w:t>
      </w:r>
      <w:proofErr w:type="gramEnd"/>
      <w:r w:rsidRPr="00CE2846">
        <w:rPr>
          <w:rFonts w:ascii="Times New Roman" w:hAnsi="Times New Roman" w:cs="Times New Roman"/>
          <w:sz w:val="20"/>
          <w:szCs w:val="20"/>
        </w:rPr>
        <w:t>, compare.</w:t>
      </w:r>
    </w:p>
  </w:footnote>
  <w:footnote w:id="10">
    <w:p w:rsidR="00CE2846" w:rsidRPr="00CE2846" w:rsidRDefault="00CE2846" w:rsidP="00CE2846">
      <w:pPr>
        <w:rPr>
          <w:rFonts w:ascii="Times New Roman" w:hAnsi="Times New Roman" w:cs="Times New Roman"/>
          <w:sz w:val="20"/>
          <w:szCs w:val="20"/>
        </w:rPr>
      </w:pPr>
      <w:r w:rsidRPr="00CE2846">
        <w:rPr>
          <w:rFonts w:ascii="Times New Roman" w:hAnsi="Times New Roman" w:cs="Times New Roman"/>
          <w:i/>
          <w:sz w:val="20"/>
          <w:szCs w:val="20"/>
        </w:rPr>
        <w:t>cf.</w:t>
      </w:r>
      <w:r w:rsidRPr="00CE2846">
        <w:rPr>
          <w:rFonts w:ascii="Times New Roman" w:hAnsi="Times New Roman" w:cs="Times New Roman"/>
          <w:sz w:val="20"/>
          <w:szCs w:val="20"/>
        </w:rPr>
        <w:t xml:space="preserve"> </w:t>
      </w:r>
      <w:proofErr w:type="gramStart"/>
      <w:r w:rsidRPr="00CE2846">
        <w:rPr>
          <w:rFonts w:ascii="Times New Roman" w:hAnsi="Times New Roman" w:cs="Times New Roman"/>
          <w:i/>
          <w:sz w:val="20"/>
          <w:szCs w:val="20"/>
        </w:rPr>
        <w:t>confer</w:t>
      </w:r>
      <w:proofErr w:type="gramEnd"/>
      <w:r w:rsidRPr="00CE2846">
        <w:rPr>
          <w:rFonts w:ascii="Times New Roman" w:hAnsi="Times New Roman" w:cs="Times New Roman"/>
          <w:sz w:val="20"/>
          <w:szCs w:val="20"/>
        </w:rPr>
        <w:t>, compare.</w:t>
      </w:r>
    </w:p>
  </w:footnote>
  <w:footnote w:id="11">
    <w:p w:rsidR="00CE2846" w:rsidRPr="00CE2846" w:rsidRDefault="00CE2846" w:rsidP="00CE2846">
      <w:pPr>
        <w:rPr>
          <w:rFonts w:ascii="Times New Roman" w:hAnsi="Times New Roman" w:cs="Times New Roman"/>
          <w:sz w:val="20"/>
          <w:szCs w:val="20"/>
        </w:rPr>
      </w:pPr>
      <w:r w:rsidRPr="00CE2846">
        <w:rPr>
          <w:rFonts w:ascii="Times New Roman" w:hAnsi="Times New Roman" w:cs="Times New Roman"/>
          <w:sz w:val="20"/>
          <w:szCs w:val="20"/>
        </w:rPr>
        <w:t xml:space="preserve">+ plus, denotes often that other passages, etc., might be cited. So </w:t>
      </w:r>
      <w:proofErr w:type="gramStart"/>
      <w:r w:rsidRPr="00CE2846">
        <w:rPr>
          <w:rFonts w:ascii="Times New Roman" w:hAnsi="Times New Roman" w:cs="Times New Roman"/>
          <w:sz w:val="20"/>
          <w:szCs w:val="20"/>
        </w:rPr>
        <w:t>also</w:t>
      </w:r>
      <w:proofErr w:type="gramEnd"/>
      <w:r w:rsidRPr="00CE2846">
        <w:rPr>
          <w:rFonts w:ascii="Times New Roman" w:hAnsi="Times New Roman" w:cs="Times New Roman"/>
          <w:sz w:val="20"/>
          <w:szCs w:val="20"/>
        </w:rPr>
        <w:t xml:space="preserve"> where the forms of verbs, nouns, and adjectives are illustrated by citations, near the beginning of articles; while ‘etc.’ in such </w:t>
      </w:r>
      <w:proofErr w:type="spellStart"/>
      <w:r w:rsidRPr="00CE2846">
        <w:rPr>
          <w:rFonts w:ascii="Times New Roman" w:hAnsi="Times New Roman" w:cs="Times New Roman"/>
          <w:sz w:val="20"/>
          <w:szCs w:val="20"/>
        </w:rPr>
        <w:t>connexions</w:t>
      </w:r>
      <w:proofErr w:type="spellEnd"/>
      <w:r w:rsidRPr="00CE2846">
        <w:rPr>
          <w:rFonts w:ascii="Times New Roman" w:hAnsi="Times New Roman" w:cs="Times New Roman"/>
          <w:sz w:val="20"/>
          <w:szCs w:val="20"/>
        </w:rPr>
        <w:t xml:space="preserve"> commonly indicates that other forms of the word occur, which it has not been thought </w:t>
      </w:r>
      <w:proofErr w:type="spellStart"/>
      <w:r w:rsidRPr="00CE2846">
        <w:rPr>
          <w:rFonts w:ascii="Times New Roman" w:hAnsi="Times New Roman" w:cs="Times New Roman"/>
          <w:sz w:val="20"/>
          <w:szCs w:val="20"/>
        </w:rPr>
        <w:t>worth while</w:t>
      </w:r>
      <w:proofErr w:type="spellEnd"/>
      <w:r w:rsidRPr="00CE2846">
        <w:rPr>
          <w:rFonts w:ascii="Times New Roman" w:hAnsi="Times New Roman" w:cs="Times New Roman"/>
          <w:sz w:val="20"/>
          <w:szCs w:val="20"/>
        </w:rPr>
        <w:t xml:space="preserve"> to cite.</w:t>
      </w:r>
    </w:p>
  </w:footnote>
  <w:footnote w:id="12">
    <w:p w:rsidR="00CE2846" w:rsidRPr="00CE2846" w:rsidRDefault="00CE2846" w:rsidP="00CE2846">
      <w:pPr>
        <w:rPr>
          <w:rFonts w:ascii="Times New Roman" w:hAnsi="Times New Roman" w:cs="Times New Roman"/>
          <w:sz w:val="20"/>
          <w:szCs w:val="20"/>
        </w:rPr>
      </w:pPr>
      <w:r w:rsidRPr="00CE2846">
        <w:rPr>
          <w:rFonts w:ascii="Times New Roman" w:hAnsi="Times New Roman" w:cs="Times New Roman"/>
          <w:sz w:val="20"/>
          <w:szCs w:val="20"/>
          <w:vertAlign w:val="superscript"/>
        </w:rPr>
        <w:footnoteRef/>
      </w:r>
      <w:r w:rsidRPr="00CE2846">
        <w:rPr>
          <w:rFonts w:ascii="Times New Roman" w:hAnsi="Times New Roman" w:cs="Times New Roman"/>
          <w:sz w:val="20"/>
          <w:szCs w:val="20"/>
        </w:rPr>
        <w:t xml:space="preserve"> </w:t>
      </w:r>
      <w:r w:rsidRPr="00CE2846">
        <w:rPr>
          <w:rFonts w:ascii="Times New Roman" w:hAnsi="Times New Roman" w:cs="Times New Roman"/>
          <w:smallCaps/>
          <w:sz w:val="20"/>
          <w:szCs w:val="20"/>
        </w:rPr>
        <w:t>Brown, F. – Driver, S. R. – Briggs, C. A.</w:t>
      </w:r>
      <w:r w:rsidRPr="00CE2846">
        <w:rPr>
          <w:rFonts w:ascii="Times New Roman" w:hAnsi="Times New Roman" w:cs="Times New Roman"/>
          <w:sz w:val="20"/>
          <w:szCs w:val="20"/>
        </w:rPr>
        <w:t xml:space="preserve">, </w:t>
      </w:r>
      <w:hyperlink r:id="rId1" w:history="1">
        <w:r w:rsidRPr="00CE2846">
          <w:rPr>
            <w:rFonts w:ascii="Times New Roman" w:hAnsi="Times New Roman" w:cs="Times New Roman"/>
            <w:i/>
            <w:color w:val="0000FF"/>
            <w:sz w:val="20"/>
            <w:szCs w:val="20"/>
            <w:u w:val="single"/>
          </w:rPr>
          <w:t>Enhanced Brown-Driver-Briggs Hebrew and English Lexicon</w:t>
        </w:r>
      </w:hyperlink>
      <w:r w:rsidRPr="00CE2846">
        <w:rPr>
          <w:rFonts w:ascii="Times New Roman" w:hAnsi="Times New Roman" w:cs="Times New Roman"/>
          <w:sz w:val="20"/>
          <w:szCs w:val="20"/>
        </w:rPr>
        <w:t>, 182.</w:t>
      </w:r>
    </w:p>
  </w:footnote>
  <w:footnote w:id="13">
    <w:p w:rsidR="005F7980" w:rsidRPr="003C7A0D" w:rsidRDefault="005F7980">
      <w:pPr>
        <w:pStyle w:val="FootnoteText"/>
        <w:rPr>
          <w:rFonts w:ascii="Times New Roman" w:hAnsi="Times New Roman" w:cs="Times New Roman"/>
        </w:rPr>
      </w:pPr>
      <w:r w:rsidRPr="003C7A0D">
        <w:rPr>
          <w:rStyle w:val="FootnoteReference"/>
          <w:rFonts w:ascii="Times New Roman" w:hAnsi="Times New Roman" w:cs="Times New Roman"/>
        </w:rPr>
        <w:footnoteRef/>
      </w:r>
      <w:r w:rsidRPr="003C7A0D">
        <w:rPr>
          <w:rFonts w:ascii="Times New Roman" w:hAnsi="Times New Roman" w:cs="Times New Roman"/>
        </w:rPr>
        <w:t xml:space="preserve"> Oskar </w:t>
      </w:r>
      <w:proofErr w:type="spellStart"/>
      <w:r w:rsidRPr="003C7A0D">
        <w:rPr>
          <w:rFonts w:ascii="Times New Roman" w:hAnsi="Times New Roman" w:cs="Times New Roman"/>
        </w:rPr>
        <w:t>Grether</w:t>
      </w:r>
      <w:proofErr w:type="spellEnd"/>
      <w:r w:rsidRPr="003C7A0D">
        <w:rPr>
          <w:rFonts w:ascii="Times New Roman" w:hAnsi="Times New Roman" w:cs="Times New Roman"/>
        </w:rPr>
        <w:t xml:space="preserve">, </w:t>
      </w:r>
      <w:r w:rsidRPr="003C7A0D">
        <w:rPr>
          <w:rFonts w:ascii="Times New Roman" w:hAnsi="Times New Roman" w:cs="Times New Roman"/>
          <w:i/>
        </w:rPr>
        <w:t xml:space="preserve">Name und Wort </w:t>
      </w:r>
      <w:proofErr w:type="spellStart"/>
      <w:r w:rsidRPr="003C7A0D">
        <w:rPr>
          <w:rFonts w:ascii="Times New Roman" w:hAnsi="Times New Roman" w:cs="Times New Roman"/>
          <w:i/>
        </w:rPr>
        <w:t>Gottes</w:t>
      </w:r>
      <w:proofErr w:type="spellEnd"/>
      <w:r w:rsidRPr="003C7A0D">
        <w:rPr>
          <w:rFonts w:ascii="Times New Roman" w:hAnsi="Times New Roman" w:cs="Times New Roman"/>
          <w:i/>
        </w:rPr>
        <w:t xml:space="preserve"> </w:t>
      </w:r>
      <w:proofErr w:type="spellStart"/>
      <w:r w:rsidRPr="003C7A0D">
        <w:rPr>
          <w:rFonts w:ascii="Times New Roman" w:hAnsi="Times New Roman" w:cs="Times New Roman"/>
          <w:i/>
        </w:rPr>
        <w:t>im</w:t>
      </w:r>
      <w:proofErr w:type="spellEnd"/>
      <w:r w:rsidRPr="003C7A0D">
        <w:rPr>
          <w:rFonts w:ascii="Times New Roman" w:hAnsi="Times New Roman" w:cs="Times New Roman"/>
          <w:i/>
        </w:rPr>
        <w:t xml:space="preserve"> </w:t>
      </w:r>
      <w:proofErr w:type="spellStart"/>
      <w:r w:rsidRPr="003C7A0D">
        <w:rPr>
          <w:rFonts w:ascii="Times New Roman" w:hAnsi="Times New Roman" w:cs="Times New Roman"/>
          <w:i/>
        </w:rPr>
        <w:t>Alten</w:t>
      </w:r>
      <w:proofErr w:type="spellEnd"/>
      <w:r w:rsidRPr="003C7A0D">
        <w:rPr>
          <w:rFonts w:ascii="Times New Roman" w:hAnsi="Times New Roman" w:cs="Times New Roman"/>
          <w:i/>
        </w:rPr>
        <w:t xml:space="preserve"> Testament</w:t>
      </w:r>
      <w:r w:rsidRPr="003C7A0D">
        <w:rPr>
          <w:rFonts w:ascii="Times New Roman" w:hAnsi="Times New Roman" w:cs="Times New Roman"/>
        </w:rPr>
        <w:t xml:space="preserve">, BZAW 64, 1934; R. -J. </w:t>
      </w:r>
      <w:proofErr w:type="spellStart"/>
      <w:r w:rsidRPr="003C7A0D">
        <w:rPr>
          <w:rFonts w:ascii="Times New Roman" w:hAnsi="Times New Roman" w:cs="Times New Roman"/>
        </w:rPr>
        <w:t>Tournay</w:t>
      </w:r>
      <w:proofErr w:type="spellEnd"/>
      <w:r w:rsidRPr="003C7A0D">
        <w:rPr>
          <w:rFonts w:ascii="Times New Roman" w:hAnsi="Times New Roman" w:cs="Times New Roman"/>
        </w:rPr>
        <w:t xml:space="preserve"> et al in Supplement </w:t>
      </w:r>
      <w:proofErr w:type="spellStart"/>
      <w:r w:rsidRPr="003C7A0D">
        <w:rPr>
          <w:rFonts w:ascii="Times New Roman" w:hAnsi="Times New Roman" w:cs="Times New Roman"/>
        </w:rPr>
        <w:t>ou</w:t>
      </w:r>
      <w:proofErr w:type="spellEnd"/>
      <w:r w:rsidRPr="003C7A0D">
        <w:rPr>
          <w:rFonts w:ascii="Times New Roman" w:hAnsi="Times New Roman" w:cs="Times New Roman"/>
        </w:rPr>
        <w:t xml:space="preserve"> </w:t>
      </w:r>
      <w:proofErr w:type="spellStart"/>
      <w:r w:rsidRPr="003C7A0D">
        <w:rPr>
          <w:rFonts w:ascii="Times New Roman" w:hAnsi="Times New Roman" w:cs="Times New Roman"/>
        </w:rPr>
        <w:t>Dictionnaire</w:t>
      </w:r>
      <w:proofErr w:type="spellEnd"/>
      <w:r w:rsidRPr="003C7A0D">
        <w:rPr>
          <w:rFonts w:ascii="Times New Roman" w:hAnsi="Times New Roman" w:cs="Times New Roman"/>
        </w:rPr>
        <w:t xml:space="preserve"> de la Bible 5, Paris 19522, 425-65.</w:t>
      </w:r>
    </w:p>
  </w:footnote>
  <w:footnote w:id="14">
    <w:p w:rsidR="003C7A0D" w:rsidRPr="003C7A0D" w:rsidRDefault="003C7A0D">
      <w:pPr>
        <w:pStyle w:val="FootnoteText"/>
        <w:rPr>
          <w:rFonts w:ascii="Times New Roman" w:hAnsi="Times New Roman" w:cs="Times New Roman"/>
        </w:rPr>
      </w:pPr>
      <w:r w:rsidRPr="003C7A0D">
        <w:rPr>
          <w:rStyle w:val="FootnoteReference"/>
          <w:rFonts w:ascii="Times New Roman" w:hAnsi="Times New Roman" w:cs="Times New Roman"/>
        </w:rPr>
        <w:footnoteRef/>
      </w:r>
      <w:r w:rsidRPr="003C7A0D">
        <w:rPr>
          <w:rFonts w:ascii="Times New Roman" w:hAnsi="Times New Roman" w:cs="Times New Roman"/>
        </w:rPr>
        <w:t xml:space="preserve"> John McKenzie, “The Word of God in the Old Testament”, 185.</w:t>
      </w:r>
    </w:p>
  </w:footnote>
  <w:footnote w:id="15">
    <w:p w:rsidR="003C7A0D" w:rsidRDefault="003C7A0D">
      <w:pPr>
        <w:pStyle w:val="FootnoteText"/>
      </w:pPr>
      <w:r>
        <w:rPr>
          <w:rStyle w:val="FootnoteReference"/>
        </w:rPr>
        <w:footnoteRef/>
      </w:r>
      <w:r>
        <w:t xml:space="preserve"> </w:t>
      </w:r>
      <w:r w:rsidRPr="003C7A0D">
        <w:rPr>
          <w:rFonts w:ascii="Times New Roman" w:hAnsi="Times New Roman" w:cs="Times New Roman"/>
        </w:rPr>
        <w:t>John McKenzie, “The Word of God in the Old Testament”, 18</w:t>
      </w:r>
      <w:r>
        <w:rPr>
          <w:rFonts w:ascii="Times New Roman" w:hAnsi="Times New Roman" w:cs="Times New Roman"/>
        </w:rPr>
        <w:t>9.</w:t>
      </w:r>
    </w:p>
  </w:footnote>
  <w:footnote w:id="16">
    <w:p w:rsidR="00C473C4" w:rsidRDefault="00C473C4">
      <w:pPr>
        <w:pStyle w:val="FootnoteText"/>
      </w:pPr>
      <w:r>
        <w:rPr>
          <w:rStyle w:val="FootnoteReference"/>
        </w:rPr>
        <w:footnoteRef/>
      </w:r>
      <w:r>
        <w:t xml:space="preserve"> </w:t>
      </w:r>
      <w:r w:rsidRPr="003C7A0D">
        <w:rPr>
          <w:rFonts w:ascii="Times New Roman" w:hAnsi="Times New Roman" w:cs="Times New Roman"/>
        </w:rPr>
        <w:t>John McKenzie</w:t>
      </w:r>
      <w:r>
        <w:rPr>
          <w:rFonts w:ascii="Times New Roman" w:hAnsi="Times New Roman" w:cs="Times New Roman"/>
        </w:rPr>
        <w:t>, 201.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57"/>
    <w:rsid w:val="00103FE1"/>
    <w:rsid w:val="002933B7"/>
    <w:rsid w:val="00321750"/>
    <w:rsid w:val="003233C2"/>
    <w:rsid w:val="00362525"/>
    <w:rsid w:val="003C7A0D"/>
    <w:rsid w:val="00411D7E"/>
    <w:rsid w:val="004B1C2D"/>
    <w:rsid w:val="004B6D6E"/>
    <w:rsid w:val="005515A9"/>
    <w:rsid w:val="005E0721"/>
    <w:rsid w:val="005F7980"/>
    <w:rsid w:val="006F790C"/>
    <w:rsid w:val="0084347A"/>
    <w:rsid w:val="008441EB"/>
    <w:rsid w:val="00A13B83"/>
    <w:rsid w:val="00AC1ED2"/>
    <w:rsid w:val="00AE38A1"/>
    <w:rsid w:val="00AE4937"/>
    <w:rsid w:val="00BD7E6B"/>
    <w:rsid w:val="00C473C4"/>
    <w:rsid w:val="00CE2846"/>
    <w:rsid w:val="00D0581B"/>
    <w:rsid w:val="00D17FAB"/>
    <w:rsid w:val="00D70957"/>
    <w:rsid w:val="00E11F68"/>
    <w:rsid w:val="00E54506"/>
    <w:rsid w:val="00E66A65"/>
    <w:rsid w:val="00E91AEF"/>
    <w:rsid w:val="00ED5617"/>
    <w:rsid w:val="00EF6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1EF9"/>
  <w15:chartTrackingRefBased/>
  <w15:docId w15:val="{66024E75-7700-F549-BFD2-9CFB06460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2846"/>
    <w:pPr>
      <w:autoSpaceDE w:val="0"/>
      <w:autoSpaceDN w:val="0"/>
      <w:adjustRightInd w:val="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E2846"/>
    <w:rPr>
      <w:sz w:val="20"/>
      <w:szCs w:val="20"/>
    </w:rPr>
  </w:style>
  <w:style w:type="character" w:customStyle="1" w:styleId="FootnoteTextChar">
    <w:name w:val="Footnote Text Char"/>
    <w:basedOn w:val="DefaultParagraphFont"/>
    <w:link w:val="FootnoteText"/>
    <w:uiPriority w:val="99"/>
    <w:semiHidden/>
    <w:rsid w:val="00CE2846"/>
    <w:rPr>
      <w:sz w:val="20"/>
      <w:szCs w:val="20"/>
    </w:rPr>
  </w:style>
  <w:style w:type="character" w:styleId="FootnoteReference">
    <w:name w:val="footnote reference"/>
    <w:basedOn w:val="DefaultParagraphFont"/>
    <w:uiPriority w:val="99"/>
    <w:semiHidden/>
    <w:unhideWhenUsed/>
    <w:rsid w:val="00CE2846"/>
    <w:rPr>
      <w:vertAlign w:val="superscript"/>
    </w:rPr>
  </w:style>
  <w:style w:type="paragraph" w:styleId="NormalWeb">
    <w:name w:val="Normal (Web)"/>
    <w:basedOn w:val="Normal"/>
    <w:uiPriority w:val="99"/>
    <w:unhideWhenUsed/>
    <w:rsid w:val="00ED5617"/>
    <w:pPr>
      <w:autoSpaceDE/>
      <w:autoSpaceDN/>
      <w:adjustRightInd/>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87869">
      <w:bodyDiv w:val="1"/>
      <w:marLeft w:val="0"/>
      <w:marRight w:val="0"/>
      <w:marTop w:val="0"/>
      <w:marBottom w:val="0"/>
      <w:divBdr>
        <w:top w:val="none" w:sz="0" w:space="0" w:color="auto"/>
        <w:left w:val="none" w:sz="0" w:space="0" w:color="auto"/>
        <w:bottom w:val="none" w:sz="0" w:space="0" w:color="auto"/>
        <w:right w:val="none" w:sz="0" w:space="0" w:color="auto"/>
      </w:divBdr>
      <w:divsChild>
        <w:div w:id="2064669115">
          <w:marLeft w:val="0"/>
          <w:marRight w:val="0"/>
          <w:marTop w:val="0"/>
          <w:marBottom w:val="0"/>
          <w:divBdr>
            <w:top w:val="none" w:sz="0" w:space="0" w:color="auto"/>
            <w:left w:val="none" w:sz="0" w:space="0" w:color="auto"/>
            <w:bottom w:val="none" w:sz="0" w:space="0" w:color="auto"/>
            <w:right w:val="none" w:sz="0" w:space="0" w:color="auto"/>
          </w:divBdr>
          <w:divsChild>
            <w:div w:id="661354484">
              <w:marLeft w:val="0"/>
              <w:marRight w:val="0"/>
              <w:marTop w:val="0"/>
              <w:marBottom w:val="0"/>
              <w:divBdr>
                <w:top w:val="none" w:sz="0" w:space="0" w:color="auto"/>
                <w:left w:val="none" w:sz="0" w:space="0" w:color="auto"/>
                <w:bottom w:val="none" w:sz="0" w:space="0" w:color="auto"/>
                <w:right w:val="none" w:sz="0" w:space="0" w:color="auto"/>
              </w:divBdr>
              <w:divsChild>
                <w:div w:id="1609190720">
                  <w:marLeft w:val="0"/>
                  <w:marRight w:val="0"/>
                  <w:marTop w:val="0"/>
                  <w:marBottom w:val="0"/>
                  <w:divBdr>
                    <w:top w:val="none" w:sz="0" w:space="0" w:color="auto"/>
                    <w:left w:val="none" w:sz="0" w:space="0" w:color="auto"/>
                    <w:bottom w:val="none" w:sz="0" w:space="0" w:color="auto"/>
                    <w:right w:val="none" w:sz="0" w:space="0" w:color="auto"/>
                  </w:divBdr>
                  <w:divsChild>
                    <w:div w:id="6661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261018">
      <w:bodyDiv w:val="1"/>
      <w:marLeft w:val="0"/>
      <w:marRight w:val="0"/>
      <w:marTop w:val="0"/>
      <w:marBottom w:val="0"/>
      <w:divBdr>
        <w:top w:val="none" w:sz="0" w:space="0" w:color="auto"/>
        <w:left w:val="none" w:sz="0" w:space="0" w:color="auto"/>
        <w:bottom w:val="none" w:sz="0" w:space="0" w:color="auto"/>
        <w:right w:val="none" w:sz="0" w:space="0" w:color="auto"/>
      </w:divBdr>
      <w:divsChild>
        <w:div w:id="1302737013">
          <w:marLeft w:val="0"/>
          <w:marRight w:val="0"/>
          <w:marTop w:val="0"/>
          <w:marBottom w:val="0"/>
          <w:divBdr>
            <w:top w:val="none" w:sz="0" w:space="0" w:color="auto"/>
            <w:left w:val="none" w:sz="0" w:space="0" w:color="auto"/>
            <w:bottom w:val="none" w:sz="0" w:space="0" w:color="auto"/>
            <w:right w:val="none" w:sz="0" w:space="0" w:color="auto"/>
          </w:divBdr>
          <w:divsChild>
            <w:div w:id="972366582">
              <w:marLeft w:val="0"/>
              <w:marRight w:val="0"/>
              <w:marTop w:val="0"/>
              <w:marBottom w:val="0"/>
              <w:divBdr>
                <w:top w:val="none" w:sz="0" w:space="0" w:color="auto"/>
                <w:left w:val="none" w:sz="0" w:space="0" w:color="auto"/>
                <w:bottom w:val="none" w:sz="0" w:space="0" w:color="auto"/>
                <w:right w:val="none" w:sz="0" w:space="0" w:color="auto"/>
              </w:divBdr>
              <w:divsChild>
                <w:div w:id="334111935">
                  <w:marLeft w:val="0"/>
                  <w:marRight w:val="0"/>
                  <w:marTop w:val="0"/>
                  <w:marBottom w:val="0"/>
                  <w:divBdr>
                    <w:top w:val="none" w:sz="0" w:space="0" w:color="auto"/>
                    <w:left w:val="none" w:sz="0" w:space="0" w:color="auto"/>
                    <w:bottom w:val="none" w:sz="0" w:space="0" w:color="auto"/>
                    <w:right w:val="none" w:sz="0" w:space="0" w:color="auto"/>
                  </w:divBdr>
                  <w:divsChild>
                    <w:div w:id="158984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27867">
      <w:bodyDiv w:val="1"/>
      <w:marLeft w:val="0"/>
      <w:marRight w:val="0"/>
      <w:marTop w:val="0"/>
      <w:marBottom w:val="0"/>
      <w:divBdr>
        <w:top w:val="none" w:sz="0" w:space="0" w:color="auto"/>
        <w:left w:val="none" w:sz="0" w:space="0" w:color="auto"/>
        <w:bottom w:val="none" w:sz="0" w:space="0" w:color="auto"/>
        <w:right w:val="none" w:sz="0" w:space="0" w:color="auto"/>
      </w:divBdr>
      <w:divsChild>
        <w:div w:id="495078977">
          <w:marLeft w:val="0"/>
          <w:marRight w:val="0"/>
          <w:marTop w:val="0"/>
          <w:marBottom w:val="0"/>
          <w:divBdr>
            <w:top w:val="none" w:sz="0" w:space="0" w:color="auto"/>
            <w:left w:val="none" w:sz="0" w:space="0" w:color="auto"/>
            <w:bottom w:val="none" w:sz="0" w:space="0" w:color="auto"/>
            <w:right w:val="none" w:sz="0" w:space="0" w:color="auto"/>
          </w:divBdr>
          <w:divsChild>
            <w:div w:id="708145671">
              <w:marLeft w:val="0"/>
              <w:marRight w:val="0"/>
              <w:marTop w:val="0"/>
              <w:marBottom w:val="0"/>
              <w:divBdr>
                <w:top w:val="none" w:sz="0" w:space="0" w:color="auto"/>
                <w:left w:val="none" w:sz="0" w:space="0" w:color="auto"/>
                <w:bottom w:val="none" w:sz="0" w:space="0" w:color="auto"/>
                <w:right w:val="none" w:sz="0" w:space="0" w:color="auto"/>
              </w:divBdr>
              <w:divsChild>
                <w:div w:id="958031670">
                  <w:marLeft w:val="0"/>
                  <w:marRight w:val="0"/>
                  <w:marTop w:val="0"/>
                  <w:marBottom w:val="0"/>
                  <w:divBdr>
                    <w:top w:val="none" w:sz="0" w:space="0" w:color="auto"/>
                    <w:left w:val="none" w:sz="0" w:space="0" w:color="auto"/>
                    <w:bottom w:val="none" w:sz="0" w:space="0" w:color="auto"/>
                    <w:right w:val="none" w:sz="0" w:space="0" w:color="auto"/>
                  </w:divBdr>
                  <w:divsChild>
                    <w:div w:id="139651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764449">
      <w:bodyDiv w:val="1"/>
      <w:marLeft w:val="0"/>
      <w:marRight w:val="0"/>
      <w:marTop w:val="0"/>
      <w:marBottom w:val="0"/>
      <w:divBdr>
        <w:top w:val="none" w:sz="0" w:space="0" w:color="auto"/>
        <w:left w:val="none" w:sz="0" w:space="0" w:color="auto"/>
        <w:bottom w:val="none" w:sz="0" w:space="0" w:color="auto"/>
        <w:right w:val="none" w:sz="0" w:space="0" w:color="auto"/>
      </w:divBdr>
      <w:divsChild>
        <w:div w:id="541095292">
          <w:marLeft w:val="0"/>
          <w:marRight w:val="0"/>
          <w:marTop w:val="0"/>
          <w:marBottom w:val="0"/>
          <w:divBdr>
            <w:top w:val="none" w:sz="0" w:space="0" w:color="auto"/>
            <w:left w:val="none" w:sz="0" w:space="0" w:color="auto"/>
            <w:bottom w:val="none" w:sz="0" w:space="0" w:color="auto"/>
            <w:right w:val="none" w:sz="0" w:space="0" w:color="auto"/>
          </w:divBdr>
          <w:divsChild>
            <w:div w:id="1915387350">
              <w:marLeft w:val="0"/>
              <w:marRight w:val="0"/>
              <w:marTop w:val="0"/>
              <w:marBottom w:val="0"/>
              <w:divBdr>
                <w:top w:val="none" w:sz="0" w:space="0" w:color="auto"/>
                <w:left w:val="none" w:sz="0" w:space="0" w:color="auto"/>
                <w:bottom w:val="none" w:sz="0" w:space="0" w:color="auto"/>
                <w:right w:val="none" w:sz="0" w:space="0" w:color="auto"/>
              </w:divBdr>
              <w:divsChild>
                <w:div w:id="2023583251">
                  <w:marLeft w:val="0"/>
                  <w:marRight w:val="0"/>
                  <w:marTop w:val="0"/>
                  <w:marBottom w:val="0"/>
                  <w:divBdr>
                    <w:top w:val="none" w:sz="0" w:space="0" w:color="auto"/>
                    <w:left w:val="none" w:sz="0" w:space="0" w:color="auto"/>
                    <w:bottom w:val="none" w:sz="0" w:space="0" w:color="auto"/>
                    <w:right w:val="none" w:sz="0" w:space="0" w:color="auto"/>
                  </w:divBdr>
                  <w:divsChild>
                    <w:div w:id="96901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16349">
      <w:bodyDiv w:val="1"/>
      <w:marLeft w:val="0"/>
      <w:marRight w:val="0"/>
      <w:marTop w:val="0"/>
      <w:marBottom w:val="0"/>
      <w:divBdr>
        <w:top w:val="none" w:sz="0" w:space="0" w:color="auto"/>
        <w:left w:val="none" w:sz="0" w:space="0" w:color="auto"/>
        <w:bottom w:val="none" w:sz="0" w:space="0" w:color="auto"/>
        <w:right w:val="none" w:sz="0" w:space="0" w:color="auto"/>
      </w:divBdr>
      <w:divsChild>
        <w:div w:id="331301277">
          <w:marLeft w:val="0"/>
          <w:marRight w:val="0"/>
          <w:marTop w:val="0"/>
          <w:marBottom w:val="0"/>
          <w:divBdr>
            <w:top w:val="none" w:sz="0" w:space="0" w:color="auto"/>
            <w:left w:val="none" w:sz="0" w:space="0" w:color="auto"/>
            <w:bottom w:val="none" w:sz="0" w:space="0" w:color="auto"/>
            <w:right w:val="none" w:sz="0" w:space="0" w:color="auto"/>
          </w:divBdr>
          <w:divsChild>
            <w:div w:id="1057053002">
              <w:marLeft w:val="0"/>
              <w:marRight w:val="0"/>
              <w:marTop w:val="0"/>
              <w:marBottom w:val="0"/>
              <w:divBdr>
                <w:top w:val="none" w:sz="0" w:space="0" w:color="auto"/>
                <w:left w:val="none" w:sz="0" w:space="0" w:color="auto"/>
                <w:bottom w:val="none" w:sz="0" w:space="0" w:color="auto"/>
                <w:right w:val="none" w:sz="0" w:space="0" w:color="auto"/>
              </w:divBdr>
              <w:divsChild>
                <w:div w:id="289358455">
                  <w:marLeft w:val="0"/>
                  <w:marRight w:val="0"/>
                  <w:marTop w:val="0"/>
                  <w:marBottom w:val="0"/>
                  <w:divBdr>
                    <w:top w:val="none" w:sz="0" w:space="0" w:color="auto"/>
                    <w:left w:val="none" w:sz="0" w:space="0" w:color="auto"/>
                    <w:bottom w:val="none" w:sz="0" w:space="0" w:color="auto"/>
                    <w:right w:val="none" w:sz="0" w:space="0" w:color="auto"/>
                  </w:divBdr>
                  <w:divsChild>
                    <w:div w:id="1485394657">
                      <w:marLeft w:val="0"/>
                      <w:marRight w:val="0"/>
                      <w:marTop w:val="0"/>
                      <w:marBottom w:val="0"/>
                      <w:divBdr>
                        <w:top w:val="none" w:sz="0" w:space="0" w:color="auto"/>
                        <w:left w:val="none" w:sz="0" w:space="0" w:color="auto"/>
                        <w:bottom w:val="none" w:sz="0" w:space="0" w:color="auto"/>
                        <w:right w:val="none" w:sz="0" w:space="0" w:color="auto"/>
                      </w:divBdr>
                    </w:div>
                  </w:divsChild>
                </w:div>
                <w:div w:id="1597901853">
                  <w:marLeft w:val="0"/>
                  <w:marRight w:val="0"/>
                  <w:marTop w:val="0"/>
                  <w:marBottom w:val="0"/>
                  <w:divBdr>
                    <w:top w:val="none" w:sz="0" w:space="0" w:color="auto"/>
                    <w:left w:val="none" w:sz="0" w:space="0" w:color="auto"/>
                    <w:bottom w:val="none" w:sz="0" w:space="0" w:color="auto"/>
                    <w:right w:val="none" w:sz="0" w:space="0" w:color="auto"/>
                  </w:divBdr>
                  <w:divsChild>
                    <w:div w:id="210503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88411">
          <w:marLeft w:val="0"/>
          <w:marRight w:val="0"/>
          <w:marTop w:val="0"/>
          <w:marBottom w:val="0"/>
          <w:divBdr>
            <w:top w:val="none" w:sz="0" w:space="0" w:color="auto"/>
            <w:left w:val="none" w:sz="0" w:space="0" w:color="auto"/>
            <w:bottom w:val="none" w:sz="0" w:space="0" w:color="auto"/>
            <w:right w:val="none" w:sz="0" w:space="0" w:color="auto"/>
          </w:divBdr>
          <w:divsChild>
            <w:div w:id="147864532">
              <w:marLeft w:val="0"/>
              <w:marRight w:val="0"/>
              <w:marTop w:val="0"/>
              <w:marBottom w:val="0"/>
              <w:divBdr>
                <w:top w:val="none" w:sz="0" w:space="0" w:color="auto"/>
                <w:left w:val="none" w:sz="0" w:space="0" w:color="auto"/>
                <w:bottom w:val="none" w:sz="0" w:space="0" w:color="auto"/>
                <w:right w:val="none" w:sz="0" w:space="0" w:color="auto"/>
              </w:divBdr>
              <w:divsChild>
                <w:div w:id="333150739">
                  <w:marLeft w:val="0"/>
                  <w:marRight w:val="0"/>
                  <w:marTop w:val="0"/>
                  <w:marBottom w:val="0"/>
                  <w:divBdr>
                    <w:top w:val="none" w:sz="0" w:space="0" w:color="auto"/>
                    <w:left w:val="none" w:sz="0" w:space="0" w:color="auto"/>
                    <w:bottom w:val="none" w:sz="0" w:space="0" w:color="auto"/>
                    <w:right w:val="none" w:sz="0" w:space="0" w:color="auto"/>
                  </w:divBdr>
                  <w:divsChild>
                    <w:div w:id="994383434">
                      <w:marLeft w:val="0"/>
                      <w:marRight w:val="0"/>
                      <w:marTop w:val="0"/>
                      <w:marBottom w:val="0"/>
                      <w:divBdr>
                        <w:top w:val="none" w:sz="0" w:space="0" w:color="auto"/>
                        <w:left w:val="none" w:sz="0" w:space="0" w:color="auto"/>
                        <w:bottom w:val="none" w:sz="0" w:space="0" w:color="auto"/>
                        <w:right w:val="none" w:sz="0" w:space="0" w:color="auto"/>
                      </w:divBdr>
                    </w:div>
                  </w:divsChild>
                </w:div>
                <w:div w:id="333070888">
                  <w:marLeft w:val="0"/>
                  <w:marRight w:val="0"/>
                  <w:marTop w:val="0"/>
                  <w:marBottom w:val="0"/>
                  <w:divBdr>
                    <w:top w:val="none" w:sz="0" w:space="0" w:color="auto"/>
                    <w:left w:val="none" w:sz="0" w:space="0" w:color="auto"/>
                    <w:bottom w:val="none" w:sz="0" w:space="0" w:color="auto"/>
                    <w:right w:val="none" w:sz="0" w:space="0" w:color="auto"/>
                  </w:divBdr>
                  <w:divsChild>
                    <w:div w:id="17119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bdb?ref=BrownDriverBriggs.BDB+182.2&amp;off=584&amp;ctx=of+Yahweh+came+unto+~1+S+15:10+2+S+7:4+(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EE1F0-46AD-D347-B292-6EEB41691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5</Pages>
  <Words>2329</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Ezeokeke</dc:creator>
  <cp:keywords/>
  <dc:description/>
  <cp:lastModifiedBy>Gregory Ezeokeke</cp:lastModifiedBy>
  <cp:revision>15</cp:revision>
  <cp:lastPrinted>2020-10-18T08:37:00Z</cp:lastPrinted>
  <dcterms:created xsi:type="dcterms:W3CDTF">2020-09-22T17:21:00Z</dcterms:created>
  <dcterms:modified xsi:type="dcterms:W3CDTF">2020-10-19T20:01:00Z</dcterms:modified>
</cp:coreProperties>
</file>