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Default="0044597D">
      <w:r>
        <w:t>LECTURE 9: SIN AND FORGIVENESS IN THE OT</w:t>
      </w:r>
    </w:p>
    <w:p w:rsidR="0044597D" w:rsidRDefault="0044597D"/>
    <w:p w:rsidR="0044597D" w:rsidRDefault="00C543DF" w:rsidP="009062FC">
      <w:pPr>
        <w:jc w:val="both"/>
      </w:pPr>
      <w:r>
        <w:t xml:space="preserve">The concept of sin is central to the theology of the OT. This is especially true because </w:t>
      </w:r>
      <w:r w:rsidR="009062FC">
        <w:t xml:space="preserve">there is a strong stress on faithfulness in the context of the Covenant which the people of Israel identify as central to their relationship with God. The rich lexicographical entries and centrality of sin in most books point to how important the concept of sin is to the OT. </w:t>
      </w:r>
    </w:p>
    <w:p w:rsidR="009062FC" w:rsidRDefault="009062FC"/>
    <w:p w:rsidR="009062FC" w:rsidRDefault="009062FC">
      <w:r>
        <w:t>The Term “Sin” in the Hebrew Bible</w:t>
      </w:r>
    </w:p>
    <w:p w:rsidR="009062FC" w:rsidRDefault="009062FC"/>
    <w:p w:rsidR="0073659E" w:rsidRDefault="009062FC" w:rsidP="0059221D">
      <w:pPr>
        <w:jc w:val="both"/>
        <w:rPr>
          <w:rFonts w:ascii="Calibri" w:hAnsi="Calibri" w:cs="Calibri"/>
        </w:rPr>
      </w:pPr>
      <w:r>
        <w:t xml:space="preserve">There are many words that render the English term “sin” in the OT. Among these about 4 words are the most important. </w:t>
      </w:r>
      <w:r w:rsidR="0073659E">
        <w:t>The most important term is the word</w:t>
      </w:r>
      <w:r w:rsidR="00DF7338">
        <w:t xml:space="preserve"> </w:t>
      </w:r>
      <w:proofErr w:type="spellStart"/>
      <w:r w:rsidR="00DF7338" w:rsidRPr="00DF7338">
        <w:t>חַט</w:t>
      </w:r>
      <w:proofErr w:type="spellEnd"/>
      <w:r w:rsidR="00DF7338" w:rsidRPr="00DF7338">
        <w:t>ָּ</w:t>
      </w:r>
      <w:proofErr w:type="spellStart"/>
      <w:r w:rsidR="00DF7338" w:rsidRPr="00DF7338">
        <w:t>את</w:t>
      </w:r>
      <w:proofErr w:type="spellEnd"/>
      <w:r w:rsidR="0073659E">
        <w:t xml:space="preserve"> “</w:t>
      </w:r>
      <w:r w:rsidR="0073659E" w:rsidRPr="00DF36BB">
        <w:rPr>
          <w:i/>
        </w:rPr>
        <w:t>ḥaṭṭā’t</w:t>
      </w:r>
      <w:r w:rsidR="0073659E">
        <w:t xml:space="preserve">”. </w:t>
      </w:r>
      <w:r w:rsidR="00140D15">
        <w:t xml:space="preserve">The verbal form of this word is </w:t>
      </w:r>
      <w:proofErr w:type="spellStart"/>
      <w:r w:rsidR="00DF36BB" w:rsidRPr="00DF36BB">
        <w:t>חטא</w:t>
      </w:r>
      <w:proofErr w:type="spellEnd"/>
      <w:r w:rsidR="00DF36BB" w:rsidRPr="00DF36BB">
        <w:t xml:space="preserve"> </w:t>
      </w:r>
      <w:r w:rsidR="00140D15">
        <w:t>“</w:t>
      </w:r>
      <w:proofErr w:type="spellStart"/>
      <w:r w:rsidR="00140D15" w:rsidRPr="00DF36BB">
        <w:rPr>
          <w:i/>
        </w:rPr>
        <w:t>hatah</w:t>
      </w:r>
      <w:proofErr w:type="spellEnd"/>
      <w:r w:rsidR="00140D15">
        <w:t>” which basically means “to miss, a mark or a goal”.</w:t>
      </w:r>
      <w:r w:rsidR="00140D15">
        <w:rPr>
          <w:rStyle w:val="FootnoteReference"/>
        </w:rPr>
        <w:footnoteReference w:id="1"/>
      </w:r>
      <w:r w:rsidR="00B436F0">
        <w:t xml:space="preserve"> </w:t>
      </w:r>
      <w:r w:rsidR="0059221D">
        <w:t xml:space="preserve">It generally means “sin” or in some cases “guilt”. The root </w:t>
      </w:r>
      <w:proofErr w:type="spellStart"/>
      <w:r w:rsidR="0059221D">
        <w:t>ht</w:t>
      </w:r>
      <w:proofErr w:type="spellEnd"/>
      <w:r w:rsidR="0059221D">
        <w:t xml:space="preserve">’ in its nominal form has many variants but they basically </w:t>
      </w:r>
      <w:r w:rsidR="00C50E31">
        <w:t>mean</w:t>
      </w:r>
      <w:r w:rsidR="0059221D">
        <w:t xml:space="preserve"> “sin”. </w:t>
      </w:r>
      <w:r w:rsidR="00D37955">
        <w:t>The word</w:t>
      </w:r>
      <w:r w:rsidR="000A37FF">
        <w:t xml:space="preserve"> </w:t>
      </w:r>
      <w:proofErr w:type="spellStart"/>
      <w:r w:rsidR="000A37FF" w:rsidRPr="000A37FF">
        <w:t>עָוֺן</w:t>
      </w:r>
      <w:proofErr w:type="spellEnd"/>
      <w:r w:rsidR="00D37955">
        <w:t xml:space="preserve"> ‘āwōn is also translated sin but basically means a situation of being twisted or distorted. </w:t>
      </w:r>
      <w:r w:rsidR="00C60D23">
        <w:t xml:space="preserve">The </w:t>
      </w:r>
      <w:r w:rsidR="00C60D23" w:rsidRPr="00C60D23">
        <w:rPr>
          <w:rFonts w:ascii="Calibri" w:hAnsi="Calibri" w:cs="Calibri"/>
        </w:rPr>
        <w:t xml:space="preserve">noun </w:t>
      </w:r>
      <w:proofErr w:type="spellStart"/>
      <w:r w:rsidR="00C60D23" w:rsidRPr="00C60D23">
        <w:rPr>
          <w:rFonts w:ascii="Calibri" w:hAnsi="Calibri" w:cs="Calibri"/>
          <w:i/>
        </w:rPr>
        <w:t>ʿawôn</w:t>
      </w:r>
      <w:proofErr w:type="spellEnd"/>
      <w:r w:rsidR="00C60D23" w:rsidRPr="00C60D23">
        <w:rPr>
          <w:rFonts w:ascii="Calibri" w:hAnsi="Calibri" w:cs="Calibri"/>
        </w:rPr>
        <w:t xml:space="preserve">, finds some 229 attestations in the Hebrew Bible. Though the etymology of the presumed root </w:t>
      </w:r>
      <w:r w:rsidR="00C60D23" w:rsidRPr="00C60D23">
        <w:rPr>
          <w:rFonts w:ascii="Calibri" w:hAnsi="Calibri" w:cs="Calibri"/>
          <w:i/>
        </w:rPr>
        <w:t>(</w:t>
      </w:r>
      <w:proofErr w:type="spellStart"/>
      <w:r w:rsidR="00C60D23" w:rsidRPr="00C60D23">
        <w:rPr>
          <w:rFonts w:ascii="Calibri" w:hAnsi="Calibri" w:cs="Calibri"/>
          <w:i/>
        </w:rPr>
        <w:t>ʿwy</w:t>
      </w:r>
      <w:proofErr w:type="spellEnd"/>
      <w:r w:rsidR="00C60D23" w:rsidRPr="00C60D23">
        <w:rPr>
          <w:rFonts w:ascii="Calibri" w:hAnsi="Calibri" w:cs="Calibri"/>
          <w:i/>
        </w:rPr>
        <w:t>/w)</w:t>
      </w:r>
      <w:r w:rsidR="00C60D23" w:rsidRPr="00C60D23">
        <w:rPr>
          <w:rFonts w:ascii="Calibri" w:hAnsi="Calibri" w:cs="Calibri"/>
        </w:rPr>
        <w:t xml:space="preserve"> is disputed, the general meaning of the noun “error, iniquity” is accepted. </w:t>
      </w:r>
      <w:r w:rsidR="00C60D23" w:rsidRPr="00C60D23">
        <w:rPr>
          <w:rFonts w:ascii="Calibri" w:hAnsi="Calibri" w:cs="Calibri"/>
          <w:vertAlign w:val="superscript"/>
        </w:rPr>
        <w:footnoteReference w:id="2"/>
      </w:r>
      <w:r w:rsidR="00C60D23">
        <w:rPr>
          <w:rFonts w:ascii="Calibri" w:hAnsi="Calibri" w:cs="Calibri"/>
        </w:rPr>
        <w:t xml:space="preserve"> </w:t>
      </w:r>
      <w:r w:rsidR="000A37FF">
        <w:t xml:space="preserve">It is used less times as “sin” in the OT (cf. </w:t>
      </w:r>
      <w:r w:rsidR="0059221D">
        <w:t>Josh 22:17; 1 Kgs 17:18; Ps 39:11; Isa 50:1; Jer 31:30; Hos 13:12</w:t>
      </w:r>
      <w:r w:rsidR="000A37FF">
        <w:t>)</w:t>
      </w:r>
      <w:r w:rsidR="0059221D">
        <w:t xml:space="preserve">.  </w:t>
      </w:r>
      <w:r w:rsidR="0073659E">
        <w:t xml:space="preserve">We also have the word </w:t>
      </w:r>
      <w:proofErr w:type="spellStart"/>
      <w:r w:rsidR="0073659E" w:rsidRPr="0073659E">
        <w:t>מעל</w:t>
      </w:r>
      <w:proofErr w:type="spellEnd"/>
      <w:r w:rsidR="0073659E">
        <w:t xml:space="preserve"> “ma ‘al” which means basically infidelity. </w:t>
      </w:r>
      <w:r w:rsidR="00512E46">
        <w:t>There is also the word</w:t>
      </w:r>
      <w:r w:rsidR="00D0654A">
        <w:t xml:space="preserve"> </w:t>
      </w:r>
      <w:r w:rsidR="00D0654A" w:rsidRPr="00D0654A">
        <w:t>פֶּ֫שַׁע</w:t>
      </w:r>
      <w:r w:rsidR="00512E46">
        <w:t xml:space="preserve"> “</w:t>
      </w:r>
      <w:proofErr w:type="spellStart"/>
      <w:r w:rsidR="00512E46">
        <w:t>peša</w:t>
      </w:r>
      <w:proofErr w:type="spellEnd"/>
      <w:r w:rsidR="00512E46">
        <w:t xml:space="preserve">” which can be translated in some contexts as “sin” or “sinful”. </w:t>
      </w:r>
      <w:r w:rsidR="00C60D23">
        <w:t>“</w:t>
      </w:r>
      <w:r w:rsidR="00C60D23" w:rsidRPr="00C60D23">
        <w:rPr>
          <w:rFonts w:ascii="Calibri" w:hAnsi="Calibri" w:cs="Calibri"/>
        </w:rPr>
        <w:t xml:space="preserve">The verb </w:t>
      </w:r>
      <w:proofErr w:type="spellStart"/>
      <w:r w:rsidR="00C60D23" w:rsidRPr="00C60D23">
        <w:rPr>
          <w:rFonts w:ascii="Calibri" w:hAnsi="Calibri" w:cs="Calibri"/>
          <w:i/>
        </w:rPr>
        <w:t>pšʿ</w:t>
      </w:r>
      <w:proofErr w:type="spellEnd"/>
      <w:r w:rsidR="00C60D23" w:rsidRPr="00C60D23">
        <w:rPr>
          <w:rFonts w:ascii="Calibri" w:hAnsi="Calibri" w:cs="Calibri"/>
        </w:rPr>
        <w:t xml:space="preserve"> is thus translated “to rebel, revolt, transgress.” The meaning “revolt” is illustrated by the use of the verb in the realm of international politics, where </w:t>
      </w:r>
      <w:proofErr w:type="spellStart"/>
      <w:r w:rsidR="00C60D23" w:rsidRPr="00C60D23">
        <w:rPr>
          <w:rFonts w:ascii="Calibri" w:hAnsi="Calibri" w:cs="Calibri"/>
          <w:i/>
        </w:rPr>
        <w:t>pāšaʿ</w:t>
      </w:r>
      <w:proofErr w:type="spellEnd"/>
      <w:r w:rsidR="00C60D23" w:rsidRPr="00C60D23">
        <w:rPr>
          <w:rFonts w:ascii="Calibri" w:hAnsi="Calibri" w:cs="Calibri"/>
        </w:rPr>
        <w:t xml:space="preserve"> signifies the breach of allegiance through violation of a covenant (1 Kgs 12:19; 2 Kgs 1:1; 8:20, 22)</w:t>
      </w:r>
      <w:r w:rsidR="00C60D23">
        <w:rPr>
          <w:rFonts w:ascii="Calibri" w:hAnsi="Calibri" w:cs="Calibri"/>
        </w:rPr>
        <w:t>”</w:t>
      </w:r>
      <w:r w:rsidR="00C60D23" w:rsidRPr="00C60D23">
        <w:rPr>
          <w:rFonts w:ascii="Calibri" w:hAnsi="Calibri" w:cs="Calibri"/>
        </w:rPr>
        <w:t>.</w:t>
      </w:r>
      <w:r w:rsidR="00C60D23" w:rsidRPr="00C60D23">
        <w:rPr>
          <w:rFonts w:ascii="Calibri" w:hAnsi="Calibri" w:cs="Calibri"/>
          <w:vertAlign w:val="superscript"/>
        </w:rPr>
        <w:footnoteReference w:id="3"/>
      </w:r>
    </w:p>
    <w:p w:rsidR="00C60D23" w:rsidRDefault="00C60D23" w:rsidP="0059221D">
      <w:pPr>
        <w:jc w:val="both"/>
      </w:pPr>
    </w:p>
    <w:p w:rsidR="00C60D23" w:rsidRDefault="00C60D23" w:rsidP="0059221D">
      <w:pPr>
        <w:jc w:val="both"/>
      </w:pPr>
      <w:r>
        <w:t>The Universality of Sin in the OT</w:t>
      </w:r>
    </w:p>
    <w:p w:rsidR="00C60D23" w:rsidRDefault="00C60D23" w:rsidP="0059221D">
      <w:pPr>
        <w:jc w:val="both"/>
      </w:pPr>
    </w:p>
    <w:p w:rsidR="00DF7338" w:rsidRDefault="00C60D23" w:rsidP="0059221D">
      <w:pPr>
        <w:jc w:val="both"/>
      </w:pPr>
      <w:r>
        <w:t xml:space="preserve">Cultures in the aNE share the view that sin and iniquity is a human race pandemic. </w:t>
      </w:r>
      <w:r w:rsidR="007844A6">
        <w:t>This tendency is found in both 1</w:t>
      </w:r>
      <w:r w:rsidR="007844A6" w:rsidRPr="007844A6">
        <w:rPr>
          <w:vertAlign w:val="superscript"/>
        </w:rPr>
        <w:t>st</w:t>
      </w:r>
      <w:r w:rsidR="007844A6">
        <w:t xml:space="preserve"> </w:t>
      </w:r>
      <w:r w:rsidR="00DF7338">
        <w:t>millennium</w:t>
      </w:r>
      <w:r w:rsidR="007844A6">
        <w:t xml:space="preserve"> Hittite and Mesopotamian traditions. Israelites also have this notion as can be attested in the OT. </w:t>
      </w:r>
      <w:r w:rsidR="001B4E45">
        <w:t xml:space="preserve">Some of the Mesopotamian texts provide a context for the OT thought on the universality of sin. </w:t>
      </w:r>
      <w:r w:rsidR="00DF7338">
        <w:t>We may look at some particular texts:</w:t>
      </w:r>
    </w:p>
    <w:p w:rsidR="00DF7338" w:rsidRDefault="00DF7338" w:rsidP="0059221D">
      <w:pPr>
        <w:jc w:val="both"/>
      </w:pPr>
    </w:p>
    <w:p w:rsidR="00DF7338" w:rsidRDefault="00DF7338" w:rsidP="0059221D">
      <w:pPr>
        <w:jc w:val="both"/>
        <w:rPr>
          <w:rFonts w:ascii="Calibri" w:hAnsi="Calibri" w:cs="Calibri"/>
        </w:rPr>
      </w:pPr>
      <w:r w:rsidRPr="00DF7338">
        <w:rPr>
          <w:rFonts w:ascii="Calibri" w:hAnsi="Calibri" w:cs="Calibri"/>
        </w:rPr>
        <w:t>“Never has a sinless child been born to its mother, … a sinless workman has not existed from of old” (</w:t>
      </w:r>
      <w:r w:rsidRPr="00DF7338">
        <w:rPr>
          <w:rFonts w:ascii="Calibri" w:hAnsi="Calibri" w:cs="Calibri"/>
          <w:i/>
        </w:rPr>
        <w:t>ANE</w:t>
      </w:r>
      <w:r w:rsidRPr="00DF7338">
        <w:rPr>
          <w:rFonts w:ascii="Calibri" w:hAnsi="Calibri" w:cs="Calibri"/>
          <w:i/>
        </w:rPr>
        <w:footnoteReference w:customMarkFollows="1" w:id="4"/>
        <w:t>T</w:t>
      </w:r>
      <w:r w:rsidRPr="00DF7338">
        <w:rPr>
          <w:rFonts w:ascii="Calibri" w:hAnsi="Calibri" w:cs="Calibri"/>
        </w:rPr>
        <w:t>, 590, lines 102–3).</w:t>
      </w:r>
      <w:r w:rsidRPr="00DF7338">
        <w:rPr>
          <w:rFonts w:ascii="Calibri" w:hAnsi="Calibri" w:cs="Calibri"/>
          <w:vertAlign w:val="superscript"/>
        </w:rPr>
        <w:footnoteReference w:id="5"/>
      </w:r>
    </w:p>
    <w:p w:rsidR="00DF7338" w:rsidRDefault="00DF7338" w:rsidP="0059221D">
      <w:pPr>
        <w:jc w:val="both"/>
      </w:pPr>
    </w:p>
    <w:p w:rsidR="00DF7338" w:rsidRDefault="00DF7338" w:rsidP="0059221D">
      <w:pPr>
        <w:jc w:val="both"/>
      </w:pPr>
      <w:r>
        <w:t xml:space="preserve">An Akkadian incantation states: </w:t>
      </w:r>
    </w:p>
    <w:p w:rsidR="00DF7338" w:rsidRDefault="00DF7338" w:rsidP="0059221D">
      <w:pPr>
        <w:jc w:val="both"/>
      </w:pPr>
    </w:p>
    <w:p w:rsidR="00DF7338" w:rsidRDefault="00DF7338" w:rsidP="0059221D">
      <w:pPr>
        <w:jc w:val="both"/>
        <w:rPr>
          <w:rFonts w:ascii="Calibri" w:hAnsi="Calibri" w:cs="Calibri"/>
        </w:rPr>
      </w:pPr>
      <w:r w:rsidRPr="00DF7338">
        <w:rPr>
          <w:rFonts w:ascii="Calibri" w:hAnsi="Calibri" w:cs="Calibri"/>
        </w:rPr>
        <w:lastRenderedPageBreak/>
        <w:t>“</w:t>
      </w:r>
      <w:r w:rsidRPr="004C4ED3">
        <w:rPr>
          <w:rFonts w:ascii="Calibri" w:hAnsi="Calibri" w:cs="Calibri"/>
          <w:b/>
          <w:i/>
        </w:rPr>
        <w:t xml:space="preserve">Who is there who has not sinned against his god? Who that has kept the commandment </w:t>
      </w:r>
      <w:proofErr w:type="spellStart"/>
      <w:r w:rsidRPr="004C4ED3">
        <w:rPr>
          <w:rFonts w:ascii="Calibri" w:hAnsi="Calibri" w:cs="Calibri"/>
          <w:b/>
          <w:i/>
        </w:rPr>
        <w:t>for ever</w:t>
      </w:r>
      <w:proofErr w:type="spellEnd"/>
      <w:r w:rsidRPr="004C4ED3">
        <w:rPr>
          <w:rFonts w:ascii="Calibri" w:hAnsi="Calibri" w:cs="Calibri"/>
          <w:b/>
          <w:i/>
        </w:rPr>
        <w:t xml:space="preserve">? All humans who exist are sinful” (Lambert 1974:281–82, lines 132–43; </w:t>
      </w:r>
      <w:proofErr w:type="spellStart"/>
      <w:r w:rsidRPr="004C4ED3">
        <w:rPr>
          <w:rFonts w:ascii="Calibri" w:hAnsi="Calibri" w:cs="Calibri"/>
          <w:b/>
          <w:i/>
        </w:rPr>
        <w:t>Seu</w:t>
      </w:r>
      <w:r w:rsidRPr="004C4ED3">
        <w:rPr>
          <w:rFonts w:ascii="Calibri" w:hAnsi="Calibri" w:cs="Calibri"/>
          <w:b/>
          <w:i/>
        </w:rPr>
        <w:footnoteReference w:customMarkFollows="1" w:id="6"/>
        <w:t>x</w:t>
      </w:r>
      <w:proofErr w:type="spellEnd"/>
      <w:r w:rsidRPr="004C4ED3">
        <w:rPr>
          <w:rFonts w:ascii="Calibri" w:hAnsi="Calibri" w:cs="Calibri"/>
          <w:b/>
          <w:i/>
        </w:rPr>
        <w:t xml:space="preserve"> 1976:207, lines 12–14</w:t>
      </w:r>
      <w:r w:rsidRPr="00DF7338">
        <w:rPr>
          <w:rFonts w:ascii="Calibri" w:hAnsi="Calibri" w:cs="Calibri"/>
        </w:rPr>
        <w:t>)</w:t>
      </w:r>
      <w:r w:rsidRPr="00DF7338">
        <w:rPr>
          <w:rFonts w:ascii="Calibri" w:hAnsi="Calibri" w:cs="Calibri"/>
          <w:vertAlign w:val="superscript"/>
        </w:rPr>
        <w:footnoteReference w:id="7"/>
      </w:r>
      <w:r>
        <w:rPr>
          <w:rFonts w:ascii="Calibri" w:hAnsi="Calibri" w:cs="Calibri"/>
        </w:rPr>
        <w:t>.</w:t>
      </w:r>
    </w:p>
    <w:p w:rsidR="00DF7338" w:rsidRDefault="00DF7338" w:rsidP="0059221D">
      <w:pPr>
        <w:jc w:val="both"/>
      </w:pPr>
    </w:p>
    <w:p w:rsidR="00DA2767" w:rsidRDefault="00DF7338" w:rsidP="0059221D">
      <w:pPr>
        <w:jc w:val="both"/>
      </w:pPr>
      <w:r>
        <w:t xml:space="preserve">These texts show the consciousness of a sinfulness, of a sort which includes the entire human race without exception. The tendency also occurs with clarity in the OT. </w:t>
      </w:r>
      <w:r w:rsidR="00DA2767">
        <w:t xml:space="preserve">In Genesis, God himself accepts the moral verdict that led to his regret of creating mankind. God sees that the human race is continually evil (Gen 6:5) and that then regrets that he had made man (Gen 6:6). This perception was the reason God decided to purge the earth of its sins through the devastation of a flood (Gen 6:7). The ubiquitous nature of sin was never in doubt in many parts of the OT and this also apparent in the wisdom books (cf. </w:t>
      </w:r>
      <w:proofErr w:type="spellStart"/>
      <w:r w:rsidR="00DA2767">
        <w:t>Prov</w:t>
      </w:r>
      <w:proofErr w:type="spellEnd"/>
      <w:r w:rsidR="00DA2767">
        <w:t xml:space="preserve"> 20:9; </w:t>
      </w:r>
      <w:proofErr w:type="spellStart"/>
      <w:r w:rsidR="00DA2767">
        <w:t>Qoh</w:t>
      </w:r>
      <w:proofErr w:type="spellEnd"/>
      <w:r w:rsidR="00DA2767">
        <w:t xml:space="preserve"> 7:20, 29). This belief is also clear from Ps 143:2 which prays: “Do not judge your servant, for no one living is righteous before you” (also cf. Ps 103:3; 78:38-39; 155:9-10). In the Deuteronomistic History, Solomon’s prayer included a clause that alluded to the universal nature of sin: “if they sin against you, for there is no one who does not sin”. </w:t>
      </w:r>
    </w:p>
    <w:p w:rsidR="00DA2767" w:rsidRDefault="00DA2767" w:rsidP="0059221D">
      <w:pPr>
        <w:jc w:val="both"/>
      </w:pPr>
    </w:p>
    <w:p w:rsidR="00DF7338" w:rsidRDefault="00DA2767" w:rsidP="0059221D">
      <w:pPr>
        <w:jc w:val="both"/>
      </w:pPr>
      <w:r>
        <w:t xml:space="preserve">The origin of this sinfulness can be found in </w:t>
      </w:r>
      <w:r w:rsidRPr="004C4ED3">
        <w:rPr>
          <w:b/>
          <w:i/>
        </w:rPr>
        <w:t>Gen 3</w:t>
      </w:r>
      <w:r>
        <w:t xml:space="preserve"> but this tradition was not preserved in classical Hebrew writings of the OT, a fact, which points to the lateness of this tradition in Genesis. </w:t>
      </w:r>
      <w:r w:rsidRPr="004C4ED3">
        <w:rPr>
          <w:b/>
          <w:i/>
        </w:rPr>
        <w:t>Rather in classical Hebrew writings, the mere fact that mankind is sinful is related to the fact that he is a creature</w:t>
      </w:r>
      <w:r>
        <w:t>. The creatureliness of man as a basis for his sinfulness is most developed in the book of Job where it exists as a literary topos</w:t>
      </w:r>
      <w:r w:rsidR="001E294D">
        <w:t xml:space="preserve"> (cf. Job 4:17-21; 15:14-16; 25:1-6). In Job 4:17-21, this sinfulness is attributed to the ephemerality of mankind. This argument also exists in other genres of lament found in other books of the OT (cf. Ps 90:3-4; 89:47-49). Gen 3:19 produced another basis to this ephemerality by linking mankind’s existence to “dust”. </w:t>
      </w:r>
      <w:r w:rsidR="001E294D" w:rsidRPr="004C4ED3">
        <w:rPr>
          <w:b/>
          <w:i/>
        </w:rPr>
        <w:t xml:space="preserve">Another basis for this general sinful nature could be attributed to the Levitical laws which stipulated mandatory </w:t>
      </w:r>
      <w:proofErr w:type="spellStart"/>
      <w:r w:rsidR="001E294D" w:rsidRPr="004C4ED3">
        <w:rPr>
          <w:b/>
          <w:i/>
        </w:rPr>
        <w:t>exipiation</w:t>
      </w:r>
      <w:proofErr w:type="spellEnd"/>
      <w:r w:rsidR="001E294D" w:rsidRPr="004C4ED3">
        <w:rPr>
          <w:b/>
          <w:i/>
        </w:rPr>
        <w:t xml:space="preserve"> for the defilement of a woman during child birth (cf. Lev 12)</w:t>
      </w:r>
      <w:r w:rsidR="001E294D">
        <w:t xml:space="preserve">. For this reason, every new born is immersed in a defilement process during the process of childbirth. In some prophetic texts, there is a confession of sinfulness that alludes to the inherent nature of man as sinful. This could be seen in Isaiah’s call (Isa 6:5-7) and in other texts of Jeremiah (Jer 17:9). </w:t>
      </w:r>
      <w:r>
        <w:t xml:space="preserve">  </w:t>
      </w:r>
    </w:p>
    <w:p w:rsidR="001E294D" w:rsidRDefault="001E294D" w:rsidP="0059221D">
      <w:pPr>
        <w:jc w:val="both"/>
      </w:pPr>
    </w:p>
    <w:p w:rsidR="001E294D" w:rsidRDefault="001E294D" w:rsidP="0059221D">
      <w:pPr>
        <w:jc w:val="both"/>
        <w:rPr>
          <w:rFonts w:ascii="Calibri" w:hAnsi="Calibri" w:cs="Calibri"/>
        </w:rPr>
      </w:pPr>
      <w:r>
        <w:t>In spite of these beliefs, the OT did not develop the notion that the general sinfulness of mankind was the making of God who fashioned his creatures to be intrinsically sinful. According to Cover: “</w:t>
      </w:r>
      <w:r w:rsidRPr="001E294D">
        <w:rPr>
          <w:rFonts w:ascii="Calibri" w:hAnsi="Calibri" w:cs="Calibri"/>
        </w:rPr>
        <w:t>They might accuse God of meting out punishment too harsh for frail humans to bear (Job 6:12; 10:4, 9); or accuse him of covenant disloyalty (Ps 89:29–46—</w:t>
      </w:r>
      <w:proofErr w:type="spellStart"/>
      <w:r w:rsidRPr="001E294D">
        <w:rPr>
          <w:rFonts w:ascii="Calibri" w:hAnsi="Calibri" w:cs="Calibri"/>
        </w:rPr>
        <w:t>Eng</w:t>
      </w:r>
      <w:proofErr w:type="spellEnd"/>
      <w:r w:rsidRPr="001E294D">
        <w:rPr>
          <w:rFonts w:ascii="Calibri" w:hAnsi="Calibri" w:cs="Calibri"/>
        </w:rPr>
        <w:t xml:space="preserve"> 89:28–45); or lament that he had created human beings for mere futility (Ps 89:48b—</w:t>
      </w:r>
      <w:proofErr w:type="spellStart"/>
      <w:r w:rsidRPr="001E294D">
        <w:rPr>
          <w:rFonts w:ascii="Calibri" w:hAnsi="Calibri" w:cs="Calibri"/>
        </w:rPr>
        <w:t>Eng</w:t>
      </w:r>
      <w:proofErr w:type="spellEnd"/>
      <w:r w:rsidRPr="001E294D">
        <w:rPr>
          <w:rFonts w:ascii="Calibri" w:hAnsi="Calibri" w:cs="Calibri"/>
        </w:rPr>
        <w:t xml:space="preserve"> 89:47b), but they stopped short of the claim that God personally endowed them with sinful tendencies</w:t>
      </w:r>
      <w:r w:rsidRPr="001E294D">
        <w:rPr>
          <w:rFonts w:ascii="Calibri" w:hAnsi="Calibri" w:cs="Calibri"/>
          <w:vertAlign w:val="superscript"/>
        </w:rPr>
        <w:footnoteReference w:id="8"/>
      </w:r>
      <w:r>
        <w:rPr>
          <w:rFonts w:ascii="Calibri" w:hAnsi="Calibri" w:cs="Calibri"/>
        </w:rPr>
        <w:t xml:space="preserve">”. </w:t>
      </w:r>
    </w:p>
    <w:p w:rsidR="001E294D" w:rsidRDefault="001E294D" w:rsidP="0059221D">
      <w:pPr>
        <w:jc w:val="both"/>
      </w:pPr>
    </w:p>
    <w:p w:rsidR="001E294D" w:rsidRDefault="001E294D" w:rsidP="0059221D">
      <w:pPr>
        <w:jc w:val="both"/>
      </w:pPr>
      <w:r>
        <w:t>Cultic and Unintended Sins</w:t>
      </w:r>
    </w:p>
    <w:p w:rsidR="001E294D" w:rsidRDefault="001E294D" w:rsidP="0059221D">
      <w:pPr>
        <w:jc w:val="both"/>
      </w:pPr>
    </w:p>
    <w:p w:rsidR="001E294D" w:rsidRDefault="001E294D" w:rsidP="0059221D">
      <w:pPr>
        <w:jc w:val="both"/>
      </w:pPr>
      <w:r>
        <w:t xml:space="preserve">While the idea of sinfulness conceived as rebellion and sinfulness may be clear to the Christian tradition, there exists another conception of sin in the OT which may not be immediately </w:t>
      </w:r>
      <w:r>
        <w:lastRenderedPageBreak/>
        <w:t xml:space="preserve">familiar to the Christian tradition but which is truly necessary for an appreciation of Hebrew religion and idea of sin. </w:t>
      </w:r>
      <w:r w:rsidRPr="004C4ED3">
        <w:rPr>
          <w:b/>
          <w:i/>
        </w:rPr>
        <w:t xml:space="preserve">This conception is the idea that sin could be </w:t>
      </w:r>
      <w:proofErr w:type="gramStart"/>
      <w:r w:rsidRPr="004C4ED3">
        <w:rPr>
          <w:b/>
          <w:i/>
        </w:rPr>
        <w:t>effected</w:t>
      </w:r>
      <w:proofErr w:type="gramEnd"/>
      <w:r w:rsidRPr="004C4ED3">
        <w:rPr>
          <w:b/>
          <w:i/>
        </w:rPr>
        <w:t xml:space="preserve"> by cultic trespass, ritual impurity, sacrilege, and inadvertent sin</w:t>
      </w:r>
      <w:r>
        <w:t xml:space="preserve">. Sometimes it is truly difficult to distinguish between sin conceived as moral or sin as ritual transgression. In many cases it does not matter is a sin is committed intentionally or intentionally, the consequence is usually the same. A look at some of these Israelite laws will reveal some of these facts. In </w:t>
      </w:r>
      <w:proofErr w:type="spellStart"/>
      <w:r>
        <w:t>Num</w:t>
      </w:r>
      <w:proofErr w:type="spellEnd"/>
      <w:r>
        <w:t xml:space="preserve"> 4:13, 20, Levites are killed if they looked or touched the sanctuary vessel, whether this act is committed intentionally or unintentionally does not matter. “</w:t>
      </w:r>
      <w:r w:rsidRPr="001E294D">
        <w:rPr>
          <w:rFonts w:ascii="Calibri" w:hAnsi="Calibri" w:cs="Calibri"/>
        </w:rPr>
        <w:t>An animal raped by a human was to be judged guilty and subject to execution (Lev 20:16). The Nazirite who accidentally contacted a dead body (</w:t>
      </w:r>
      <w:proofErr w:type="spellStart"/>
      <w:r w:rsidRPr="001E294D">
        <w:rPr>
          <w:rFonts w:ascii="Calibri" w:hAnsi="Calibri" w:cs="Calibri"/>
        </w:rPr>
        <w:t>Num</w:t>
      </w:r>
      <w:proofErr w:type="spellEnd"/>
      <w:r w:rsidRPr="001E294D">
        <w:rPr>
          <w:rFonts w:ascii="Calibri" w:hAnsi="Calibri" w:cs="Calibri"/>
        </w:rPr>
        <w:t xml:space="preserve"> 6:9–11) was required to offer an expiatory sacrifice for his “sin.” Death was decreed for the Israelite who would eat of the peace-offering on the third day (Lev 19:5–8), and likewise for the Israelite who ate of a sacrifice while in a state of ritual impurity (Lev 7:20–21). One priestly prescription called for the burning of a red cow (her burnt skin, flesh, blood, dung) and a mixing of her ashes with cedarwood, hyssop, scarlet cloth, and water; when applied to a corpse-contaminated Israelite, this concoction was said to “remove sin” (</w:t>
      </w:r>
      <w:proofErr w:type="spellStart"/>
      <w:r w:rsidRPr="001E294D">
        <w:rPr>
          <w:rFonts w:ascii="Calibri" w:hAnsi="Calibri" w:cs="Calibri"/>
        </w:rPr>
        <w:t>Num</w:t>
      </w:r>
      <w:proofErr w:type="spellEnd"/>
      <w:r w:rsidRPr="001E294D">
        <w:rPr>
          <w:rFonts w:ascii="Calibri" w:hAnsi="Calibri" w:cs="Calibri"/>
        </w:rPr>
        <w:t xml:space="preserve"> 19:1–11).</w:t>
      </w:r>
      <w:r w:rsidRPr="001E294D">
        <w:rPr>
          <w:rFonts w:ascii="Calibri" w:hAnsi="Calibri" w:cs="Calibri"/>
          <w:vertAlign w:val="superscript"/>
        </w:rPr>
        <w:footnoteReference w:id="9"/>
      </w:r>
      <w:r>
        <w:t xml:space="preserve">” Sometimes the unintentionality of the sinfulness suggests the complex nature of sin and that since it does not take volition to sin, the sin might be related to the condition of man as a mortal. </w:t>
      </w:r>
    </w:p>
    <w:p w:rsidR="001E294D" w:rsidRDefault="001E294D" w:rsidP="0059221D">
      <w:pPr>
        <w:jc w:val="both"/>
      </w:pPr>
    </w:p>
    <w:p w:rsidR="001E294D" w:rsidRDefault="001E294D" w:rsidP="0059221D">
      <w:pPr>
        <w:jc w:val="both"/>
      </w:pPr>
      <w:r>
        <w:t>Sin as Disobedience</w:t>
      </w:r>
    </w:p>
    <w:p w:rsidR="001E294D" w:rsidRDefault="001E294D" w:rsidP="0059221D">
      <w:pPr>
        <w:jc w:val="both"/>
      </w:pPr>
    </w:p>
    <w:p w:rsidR="001E294D" w:rsidRDefault="001E294D" w:rsidP="0059221D">
      <w:pPr>
        <w:jc w:val="both"/>
      </w:pPr>
      <w:r>
        <w:t>The priestly writers emphasized sin as a violation of God’s holiness and the cosmic order. However, in the prophets and the historical books, sin was conceived more as disobedience than as a ritual mistake. This conception permeates the entire Deuteronomistic History which reflects on the fall of the Kingdoms from the point of view of disobedience and sinfulness. “</w:t>
      </w:r>
      <w:r w:rsidRPr="001E294D">
        <w:rPr>
          <w:rFonts w:ascii="Calibri" w:hAnsi="Calibri" w:cs="Calibri"/>
        </w:rPr>
        <w:t>The prophets likewise found a basis for indictment in the covenants, but each added his personal imprint on the description of sin, “sometimes as ingratitude (Amos) or as inner aversion and hostility (Hosea), as arrogance and self-exaltation (Isaiah), or as deep-seated falsity (Jeremiah)</w:t>
      </w:r>
      <w:r w:rsidRPr="001E294D">
        <w:rPr>
          <w:rFonts w:ascii="Calibri" w:hAnsi="Calibri" w:cs="Calibri"/>
          <w:vertAlign w:val="superscript"/>
        </w:rPr>
        <w:footnoteReference w:id="10"/>
      </w:r>
      <w:r>
        <w:t xml:space="preserve">”. In all these, sin is conceived as a voluntary abandonment of God. </w:t>
      </w:r>
    </w:p>
    <w:p w:rsidR="001E294D" w:rsidRDefault="001E294D" w:rsidP="0059221D">
      <w:pPr>
        <w:jc w:val="both"/>
      </w:pPr>
    </w:p>
    <w:p w:rsidR="001E294D" w:rsidRDefault="001E294D" w:rsidP="0059221D">
      <w:pPr>
        <w:jc w:val="both"/>
      </w:pPr>
      <w:r>
        <w:t>The Consequences of Sin</w:t>
      </w:r>
    </w:p>
    <w:p w:rsidR="001E294D" w:rsidRDefault="001E294D" w:rsidP="0059221D">
      <w:pPr>
        <w:jc w:val="both"/>
      </w:pPr>
    </w:p>
    <w:p w:rsidR="001E294D" w:rsidRDefault="001E294D" w:rsidP="0059221D">
      <w:pPr>
        <w:jc w:val="both"/>
      </w:pPr>
      <w:r>
        <w:t xml:space="preserve">The consequences of sin </w:t>
      </w:r>
      <w:proofErr w:type="gramStart"/>
      <w:r>
        <w:t>was</w:t>
      </w:r>
      <w:proofErr w:type="gramEnd"/>
      <w:r>
        <w:t xml:space="preserve"> usually manifold and grave. However, the most common was to enkindle God’s anger whose expression could have devastating consequences. Divine wrath which is central to ANE thought was usually linked to sinfulness in the OT. This indignation of God could lead to pronouncement of curses. It could also lead to divine judgements which comes in different forms and manners sometimes against individuals and sometimes against nations. It is significant that Deuteronomistic Historians explained the fall of Israel and Judah as consequences of God’s anger occasioned by a wide-spread abandonment of the covenant. God punished the kingdoms by sending other more powerful nations to conquer and to subdue Israel. In the times of the judges, the sinfulness of Israel usually attracted the abandonment of God which meant being conquered by other more powerful nations. </w:t>
      </w:r>
    </w:p>
    <w:p w:rsidR="001E294D" w:rsidRDefault="001E294D" w:rsidP="0059221D">
      <w:pPr>
        <w:jc w:val="both"/>
      </w:pPr>
    </w:p>
    <w:p w:rsidR="001E294D" w:rsidRDefault="001E294D" w:rsidP="0059221D">
      <w:pPr>
        <w:jc w:val="both"/>
      </w:pPr>
    </w:p>
    <w:p w:rsidR="001E294D" w:rsidRDefault="001E294D" w:rsidP="0059221D">
      <w:pPr>
        <w:jc w:val="both"/>
      </w:pPr>
      <w:r>
        <w:lastRenderedPageBreak/>
        <w:t>FORGIVENESS</w:t>
      </w:r>
    </w:p>
    <w:p w:rsidR="001E294D" w:rsidRDefault="001E294D" w:rsidP="0059221D">
      <w:pPr>
        <w:jc w:val="both"/>
      </w:pPr>
    </w:p>
    <w:p w:rsidR="001E294D" w:rsidRDefault="001E294D" w:rsidP="0059221D">
      <w:pPr>
        <w:jc w:val="both"/>
      </w:pPr>
      <w:r>
        <w:t xml:space="preserve">When sin is spoken of then forgiveness is natural to the discussion. If the OT holds in most parts that sin is universal and also holds that Israel is a people of the Covenant, it entails that idea of reconciliation which ensures a continued favor with God is necessary. Hence, the idea of forgiveness is intimately linked to the question of sin as presented in the OT. </w:t>
      </w:r>
    </w:p>
    <w:p w:rsidR="001E294D" w:rsidRDefault="001E294D" w:rsidP="0059221D">
      <w:pPr>
        <w:jc w:val="both"/>
      </w:pPr>
    </w:p>
    <w:p w:rsidR="001E294D" w:rsidRDefault="001E294D" w:rsidP="0059221D">
      <w:pPr>
        <w:jc w:val="both"/>
      </w:pPr>
      <w:r>
        <w:t>The Term “Forgiveness” in Hebrew</w:t>
      </w:r>
    </w:p>
    <w:p w:rsidR="001E294D" w:rsidRDefault="001E294D" w:rsidP="0059221D">
      <w:pPr>
        <w:jc w:val="both"/>
      </w:pPr>
    </w:p>
    <w:p w:rsidR="001E294D" w:rsidRDefault="001E294D" w:rsidP="0059221D">
      <w:pPr>
        <w:jc w:val="both"/>
      </w:pPr>
      <w:r>
        <w:t xml:space="preserve">There are three principal terms that are translated with the English “forgive”. The most important frequently used word comes from the root  </w:t>
      </w:r>
      <w:proofErr w:type="spellStart"/>
      <w:r w:rsidRPr="001E294D">
        <w:t>סלח</w:t>
      </w:r>
      <w:proofErr w:type="spellEnd"/>
      <w:r w:rsidRPr="001E294D">
        <w:t xml:space="preserve"> </w:t>
      </w:r>
      <w:r>
        <w:t>“</w:t>
      </w:r>
      <w:proofErr w:type="spellStart"/>
      <w:r>
        <w:t>slḥ</w:t>
      </w:r>
      <w:proofErr w:type="spellEnd"/>
      <w:r>
        <w:t xml:space="preserve">” which “to be indulgent toward”, “to forgive”, to pardon. Of the 65 times the word forgive occurs in English (NRSV) it renders 45 of these cases. Another important root is </w:t>
      </w:r>
      <w:proofErr w:type="spellStart"/>
      <w:r w:rsidRPr="001E294D">
        <w:t>נשׂא</w:t>
      </w:r>
      <w:proofErr w:type="spellEnd"/>
      <w:r>
        <w:t xml:space="preserve"> “ns’”. It occurs 18 out of 65 times and it basically means “to carry”, “to lift up”, “to take away”. However, in different contexts like in Gen 18:24 and Exod 10:17; 32:32, it means to forgive or to take away sins. </w:t>
      </w:r>
      <w:r w:rsidR="00141062">
        <w:t xml:space="preserve">Sometimes the root </w:t>
      </w:r>
      <w:proofErr w:type="spellStart"/>
      <w:r w:rsidR="00141062" w:rsidRPr="00141062">
        <w:t>כפר</w:t>
      </w:r>
      <w:proofErr w:type="spellEnd"/>
      <w:r w:rsidR="00141062">
        <w:t xml:space="preserve"> “</w:t>
      </w:r>
      <w:proofErr w:type="spellStart"/>
      <w:r w:rsidR="00141062">
        <w:t>kpr</w:t>
      </w:r>
      <w:proofErr w:type="spellEnd"/>
      <w:r w:rsidR="00141062">
        <w:t xml:space="preserve">” is also translated “to forgive”. This word however, generally means to “to atone”, “to appease”, “to make amend”. However, in passages like Ps 65:5; Isa 22:14 and Jer 18:23, it means “to forgive”. While the first word </w:t>
      </w:r>
      <w:proofErr w:type="spellStart"/>
      <w:r w:rsidR="00141062">
        <w:t>slh</w:t>
      </w:r>
      <w:proofErr w:type="spellEnd"/>
      <w:r w:rsidR="00141062">
        <w:t xml:space="preserve"> refers to the indulgent nature of the forgiver, the word </w:t>
      </w:r>
      <w:proofErr w:type="gramStart"/>
      <w:r w:rsidR="00141062">
        <w:t>ns’</w:t>
      </w:r>
      <w:proofErr w:type="gramEnd"/>
      <w:r w:rsidR="00141062">
        <w:t xml:space="preserve"> refers to the moral weight of the sin which needs to be taken away while </w:t>
      </w:r>
      <w:proofErr w:type="spellStart"/>
      <w:r w:rsidR="00141062">
        <w:t>kpr</w:t>
      </w:r>
      <w:proofErr w:type="spellEnd"/>
      <w:r w:rsidR="00141062">
        <w:t xml:space="preserve"> refers to the imbalance created by sin which needs to be atoned for. </w:t>
      </w:r>
    </w:p>
    <w:p w:rsidR="001E294D" w:rsidRDefault="001E294D" w:rsidP="0059221D">
      <w:pPr>
        <w:jc w:val="both"/>
      </w:pPr>
    </w:p>
    <w:p w:rsidR="001B4E45" w:rsidRDefault="00141062" w:rsidP="0059221D">
      <w:pPr>
        <w:jc w:val="both"/>
      </w:pPr>
      <w:r>
        <w:t>Forgiveness as a release from an obligation</w:t>
      </w:r>
    </w:p>
    <w:p w:rsidR="00141062" w:rsidRDefault="00141062" w:rsidP="0059221D">
      <w:pPr>
        <w:jc w:val="both"/>
      </w:pPr>
    </w:p>
    <w:p w:rsidR="00141062" w:rsidRDefault="00141062" w:rsidP="0059221D">
      <w:pPr>
        <w:jc w:val="both"/>
      </w:pPr>
      <w:r>
        <w:t xml:space="preserve">The different terminologies found in the OT that describe forgiveness shows that forgiveness can be conceived differently. The term </w:t>
      </w:r>
      <w:proofErr w:type="spellStart"/>
      <w:r>
        <w:t>slh</w:t>
      </w:r>
      <w:proofErr w:type="spellEnd"/>
      <w:r>
        <w:t xml:space="preserve"> emphasizes this fact by underlining the indulgent nature of the forgiver. The fact that this term occurs most frequently in legal texts suggests that the obligation that comes from the law regards sin as a sort of obligation for not keeping the dictates of a demand. In legal texts this term occurs 10 times in Leviticus and 8 times in Numbers with the meaning “forgive” (e.g. Lev 4:20). </w:t>
      </w:r>
      <w:proofErr w:type="gramStart"/>
      <w:r>
        <w:t>Therefore</w:t>
      </w:r>
      <w:proofErr w:type="gramEnd"/>
      <w:r>
        <w:t xml:space="preserve"> this idea of forgiveness emphasizes the obligation and responsibility. </w:t>
      </w:r>
    </w:p>
    <w:p w:rsidR="00141062" w:rsidRDefault="00141062" w:rsidP="0059221D">
      <w:pPr>
        <w:jc w:val="both"/>
      </w:pPr>
    </w:p>
    <w:p w:rsidR="00141062" w:rsidRDefault="00141062" w:rsidP="0059221D">
      <w:pPr>
        <w:jc w:val="both"/>
      </w:pPr>
      <w:r>
        <w:t xml:space="preserve">Forgiveness as taking away a moral weight </w:t>
      </w:r>
    </w:p>
    <w:p w:rsidR="00141062" w:rsidRDefault="00141062" w:rsidP="0059221D">
      <w:pPr>
        <w:jc w:val="both"/>
      </w:pPr>
    </w:p>
    <w:p w:rsidR="00141062" w:rsidRDefault="00141062" w:rsidP="0059221D">
      <w:pPr>
        <w:jc w:val="both"/>
      </w:pPr>
      <w:r>
        <w:t xml:space="preserve">Sin can be conceived as a moral weight against an offender. The word “ns’” underlines this aspect. In the book of Genesis, the word used to express the forgiveness of Sodom and Gomorrah was the word </w:t>
      </w:r>
      <w:proofErr w:type="spellStart"/>
      <w:r>
        <w:t>nisah</w:t>
      </w:r>
      <w:proofErr w:type="spellEnd"/>
      <w:r>
        <w:t xml:space="preserve">. It sees sin as a weight which has fallen upon an offender and which must be carried away by the one who forgives. Perhaps in the case of Sodom and Gomorrah, the punishment that comes as a result of their sins is a consequence of the weight that sin entails for the people. This term also occurs in the Psalms. For </w:t>
      </w:r>
      <w:proofErr w:type="gramStart"/>
      <w:r>
        <w:t>example</w:t>
      </w:r>
      <w:proofErr w:type="gramEnd"/>
      <w:r>
        <w:t xml:space="preserve"> Ps 25:18 prays: “consider all my affliction and trouble, and forgive my sins”. </w:t>
      </w:r>
    </w:p>
    <w:p w:rsidR="00141062" w:rsidRDefault="00141062" w:rsidP="0059221D">
      <w:pPr>
        <w:jc w:val="both"/>
      </w:pPr>
    </w:p>
    <w:p w:rsidR="00141062" w:rsidRDefault="00141062" w:rsidP="0059221D">
      <w:pPr>
        <w:jc w:val="both"/>
      </w:pPr>
      <w:r>
        <w:t>Forgiveness as Cleansing of the sinful subject or covering of sin</w:t>
      </w:r>
    </w:p>
    <w:p w:rsidR="00141062" w:rsidRDefault="00141062" w:rsidP="0059221D">
      <w:pPr>
        <w:jc w:val="both"/>
      </w:pPr>
    </w:p>
    <w:p w:rsidR="00141062" w:rsidRDefault="00141062" w:rsidP="0059221D">
      <w:pPr>
        <w:jc w:val="both"/>
      </w:pPr>
      <w:r>
        <w:t xml:space="preserve">The root </w:t>
      </w:r>
      <w:proofErr w:type="spellStart"/>
      <w:r>
        <w:t>kpr</w:t>
      </w:r>
      <w:proofErr w:type="spellEnd"/>
      <w:r>
        <w:t xml:space="preserve"> emphasizes the covering of an iniquity because the fundamental sense of the root is to cover. Sin is conceived as something ugly that need not be seen, and therefore has to be covered. The word </w:t>
      </w:r>
      <w:r w:rsidRPr="00141062">
        <w:rPr>
          <w:rFonts w:ascii="Times New Roman" w:hAnsi="Times New Roman" w:cs="Times New Roman" w:hint="cs"/>
          <w:rtl/>
          <w:lang w:bidi="he-IL"/>
        </w:rPr>
        <w:t>מָחָה</w:t>
      </w:r>
      <w:r>
        <w:t xml:space="preserve"> “</w:t>
      </w:r>
      <w:proofErr w:type="spellStart"/>
      <w:r>
        <w:t>mahar</w:t>
      </w:r>
      <w:proofErr w:type="spellEnd"/>
      <w:r>
        <w:t xml:space="preserve">” entails cleansing. This word is found in Ps 51:3 which </w:t>
      </w:r>
      <w:proofErr w:type="spellStart"/>
      <w:r>
        <w:lastRenderedPageBreak/>
        <w:t>prays</w:t>
      </w:r>
      <w:proofErr w:type="spellEnd"/>
      <w:r>
        <w:t xml:space="preserve"> God to wipe out the transgression which corresponds to a sin. This conception understands sinfulness as a sort of stain which needs to cleaned by the benevolent God.</w:t>
      </w:r>
    </w:p>
    <w:p w:rsidR="00141062" w:rsidRDefault="00141062" w:rsidP="0059221D">
      <w:pPr>
        <w:jc w:val="both"/>
      </w:pPr>
    </w:p>
    <w:p w:rsidR="00141062" w:rsidRDefault="00141062" w:rsidP="0059221D">
      <w:pPr>
        <w:jc w:val="both"/>
      </w:pPr>
      <w:r>
        <w:t>Mercy in Connection to Forgiveness</w:t>
      </w:r>
    </w:p>
    <w:p w:rsidR="00141062" w:rsidRDefault="00141062" w:rsidP="0059221D">
      <w:pPr>
        <w:jc w:val="both"/>
      </w:pPr>
    </w:p>
    <w:p w:rsidR="00141062" w:rsidRDefault="00141062" w:rsidP="0059221D">
      <w:pPr>
        <w:jc w:val="both"/>
      </w:pPr>
      <w:r>
        <w:t>The word “to have mercy, pity, compassion” occurs in some instances in which God promises to forgive the people of Israel. This implies that God’s ability to forgive is intimately connected to another aspect of his nature as “merciful”. In Exod 34:1-6, three different Hebrew words that render the idea of mercy (</w:t>
      </w:r>
      <w:proofErr w:type="spellStart"/>
      <w:r>
        <w:t>rhm</w:t>
      </w:r>
      <w:proofErr w:type="spellEnd"/>
      <w:r>
        <w:t xml:space="preserve">, </w:t>
      </w:r>
      <w:proofErr w:type="spellStart"/>
      <w:r>
        <w:t>hesed</w:t>
      </w:r>
      <w:proofErr w:type="spellEnd"/>
      <w:r>
        <w:t xml:space="preserve">, </w:t>
      </w:r>
      <w:proofErr w:type="spellStart"/>
      <w:r>
        <w:t>hanan</w:t>
      </w:r>
      <w:proofErr w:type="spellEnd"/>
      <w:r>
        <w:t xml:space="preserve">) all occur in this passage to underline God’s disposition to forgive the people of Israel who have made the golden calf. </w:t>
      </w:r>
      <w:r w:rsidR="004C4ED3">
        <w:t xml:space="preserve">In many passages where the idea of sin appears, also appears the idea of mercy (cf. Ps 51; Sir 2:11; 5:6; Dan 4:27). </w:t>
      </w:r>
      <w:r>
        <w:t xml:space="preserve">The idea of forgiveness in the OT would be incomplete without an understanding of God’s nature as he who is merciful. </w:t>
      </w:r>
    </w:p>
    <w:p w:rsidR="00141062" w:rsidRDefault="00141062" w:rsidP="0059221D">
      <w:pPr>
        <w:jc w:val="both"/>
      </w:pPr>
    </w:p>
    <w:p w:rsidR="00141062" w:rsidRDefault="00141062" w:rsidP="0059221D">
      <w:pPr>
        <w:jc w:val="both"/>
      </w:pPr>
      <w:r>
        <w:t>Connection to the NT</w:t>
      </w:r>
    </w:p>
    <w:p w:rsidR="00141062" w:rsidRDefault="00141062" w:rsidP="0059221D">
      <w:pPr>
        <w:jc w:val="both"/>
      </w:pPr>
    </w:p>
    <w:p w:rsidR="00141062" w:rsidRDefault="00141062" w:rsidP="0059221D">
      <w:pPr>
        <w:jc w:val="both"/>
      </w:pPr>
      <w:bookmarkStart w:id="0" w:name="_GoBack"/>
      <w:r>
        <w:t xml:space="preserve">The idea of justification through faith in St Paul </w:t>
      </w:r>
      <w:bookmarkEnd w:id="0"/>
      <w:r>
        <w:t xml:space="preserve">evokes the idea of God’s forgiveness by ignoring the obligation that comes from sin. Again, the conception of divine mercy as intimately connected to the search for a sinner is a </w:t>
      </w:r>
      <w:proofErr w:type="spellStart"/>
      <w:r>
        <w:t>centre</w:t>
      </w:r>
      <w:proofErr w:type="spellEnd"/>
      <w:r>
        <w:t xml:space="preserve"> piece of Luke’s thematic framework. This is already found in the idea of God’s mercy which is connected to his disposition to forgive. </w:t>
      </w:r>
      <w:r w:rsidR="00B23D1E">
        <w:t xml:space="preserve">The Levitical laws also help us understand the attitude of the priest in the parable of the Good Samaritan. </w:t>
      </w:r>
    </w:p>
    <w:p w:rsidR="00141062" w:rsidRDefault="00141062" w:rsidP="0059221D">
      <w:pPr>
        <w:jc w:val="both"/>
      </w:pPr>
    </w:p>
    <w:p w:rsidR="00141062" w:rsidRDefault="00141062" w:rsidP="0059221D">
      <w:pPr>
        <w:jc w:val="both"/>
      </w:pPr>
      <w:r>
        <w:t xml:space="preserve"> </w:t>
      </w:r>
    </w:p>
    <w:p w:rsidR="001B4E45" w:rsidRDefault="001B4E45" w:rsidP="0059221D">
      <w:pPr>
        <w:jc w:val="both"/>
      </w:pPr>
    </w:p>
    <w:sectPr w:rsidR="001B4E45" w:rsidSect="00321750">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6C8" w:rsidRDefault="007A16C8" w:rsidP="00140D15">
      <w:r>
        <w:separator/>
      </w:r>
    </w:p>
  </w:endnote>
  <w:endnote w:type="continuationSeparator" w:id="0">
    <w:p w:rsidR="007A16C8" w:rsidRDefault="007A16C8" w:rsidP="0014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0600293"/>
      <w:docPartObj>
        <w:docPartGallery w:val="Page Numbers (Bottom of Page)"/>
        <w:docPartUnique/>
      </w:docPartObj>
    </w:sdtPr>
    <w:sdtEndPr>
      <w:rPr>
        <w:rStyle w:val="PageNumber"/>
      </w:rPr>
    </w:sdtEndPr>
    <w:sdtContent>
      <w:p w:rsidR="001C283B" w:rsidRDefault="001C283B" w:rsidP="00ED48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C283B" w:rsidRDefault="001C283B" w:rsidP="001C2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32630952"/>
      <w:docPartObj>
        <w:docPartGallery w:val="Page Numbers (Bottom of Page)"/>
        <w:docPartUnique/>
      </w:docPartObj>
    </w:sdtPr>
    <w:sdtEndPr>
      <w:rPr>
        <w:rStyle w:val="PageNumber"/>
      </w:rPr>
    </w:sdtEndPr>
    <w:sdtContent>
      <w:p w:rsidR="001C283B" w:rsidRDefault="001C283B" w:rsidP="00ED48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C283B" w:rsidRDefault="001C283B" w:rsidP="001C28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6C8" w:rsidRDefault="007A16C8" w:rsidP="00140D15">
      <w:r>
        <w:separator/>
      </w:r>
    </w:p>
  </w:footnote>
  <w:footnote w:type="continuationSeparator" w:id="0">
    <w:p w:rsidR="007A16C8" w:rsidRDefault="007A16C8" w:rsidP="00140D15">
      <w:r>
        <w:continuationSeparator/>
      </w:r>
    </w:p>
  </w:footnote>
  <w:footnote w:id="1">
    <w:p w:rsidR="00140D15" w:rsidRDefault="00140D15">
      <w:pPr>
        <w:pStyle w:val="FootnoteText"/>
      </w:pPr>
      <w:r>
        <w:rPr>
          <w:rStyle w:val="FootnoteReference"/>
        </w:rPr>
        <w:footnoteRef/>
      </w:r>
      <w:r>
        <w:t xml:space="preserve"> BDB </w:t>
      </w:r>
      <w:r w:rsidR="001435DD">
        <w:t>306.</w:t>
      </w:r>
    </w:p>
  </w:footnote>
  <w:footnote w:id="2">
    <w:p w:rsidR="00C60D23" w:rsidRDefault="00C60D23" w:rsidP="00C60D23">
      <w:r>
        <w:rPr>
          <w:vertAlign w:val="superscript"/>
        </w:rPr>
        <w:footnoteRef/>
      </w:r>
      <w:r>
        <w:t xml:space="preserve"> </w:t>
      </w:r>
      <w:r>
        <w:rPr>
          <w:smallCaps/>
        </w:rPr>
        <w:t>Cover, R. C.</w:t>
      </w:r>
      <w:r>
        <w:t>, “</w:t>
      </w:r>
      <w:hyperlink r:id="rId1" w:history="1">
        <w:r>
          <w:rPr>
            <w:color w:val="0000FF"/>
            <w:u w:val="single"/>
          </w:rPr>
          <w:t>Sin, Sinners: Old Testament</w:t>
        </w:r>
      </w:hyperlink>
      <w:r>
        <w:t xml:space="preserve">”, </w:t>
      </w:r>
      <w:r>
        <w:rPr>
          <w:i/>
        </w:rPr>
        <w:t>The Anchor Yale Bible Dictionary</w:t>
      </w:r>
      <w:r>
        <w:t xml:space="preserve"> 6, 32.</w:t>
      </w:r>
    </w:p>
  </w:footnote>
  <w:footnote w:id="3">
    <w:p w:rsidR="00C60D23" w:rsidRDefault="00C60D23" w:rsidP="00C60D23">
      <w:r>
        <w:rPr>
          <w:vertAlign w:val="superscript"/>
        </w:rPr>
        <w:footnoteRef/>
      </w:r>
      <w:r>
        <w:t xml:space="preserve"> </w:t>
      </w:r>
      <w:r>
        <w:rPr>
          <w:smallCaps/>
        </w:rPr>
        <w:t>Cover, R. C.</w:t>
      </w:r>
      <w:r>
        <w:t>, “</w:t>
      </w:r>
      <w:hyperlink r:id="rId2" w:history="1">
        <w:r>
          <w:rPr>
            <w:color w:val="0000FF"/>
            <w:u w:val="single"/>
          </w:rPr>
          <w:t>Sin, Sinners: Old Testament</w:t>
        </w:r>
      </w:hyperlink>
      <w:r>
        <w:t xml:space="preserve">”, </w:t>
      </w:r>
      <w:r>
        <w:rPr>
          <w:i/>
        </w:rPr>
        <w:t>The Anchor Yale Bible Dictionary</w:t>
      </w:r>
      <w:r>
        <w:t xml:space="preserve"> 6, 32.</w:t>
      </w:r>
    </w:p>
  </w:footnote>
  <w:footnote w:id="4">
    <w:p w:rsidR="00DF7338" w:rsidRDefault="00DF7338" w:rsidP="00DF7338">
      <w:r>
        <w:rPr>
          <w:i/>
        </w:rPr>
        <w:t>ANET</w:t>
      </w:r>
      <w:r>
        <w:t xml:space="preserve"> </w:t>
      </w:r>
      <w:r>
        <w:rPr>
          <w:i/>
        </w:rPr>
        <w:t>Ancient Near Eastern Texts Relating to the Old Testament</w:t>
      </w:r>
      <w:r>
        <w:t xml:space="preserve">, 3d ed. </w:t>
      </w:r>
      <w:proofErr w:type="spellStart"/>
      <w:r>
        <w:t>withsuppl</w:t>
      </w:r>
      <w:proofErr w:type="spellEnd"/>
      <w:r>
        <w:t>., ed. J. B. Pritchard, Princeton, 1969</w:t>
      </w:r>
    </w:p>
  </w:footnote>
  <w:footnote w:id="5">
    <w:p w:rsidR="00DF7338" w:rsidRDefault="00DF7338" w:rsidP="00DF7338">
      <w:r>
        <w:rPr>
          <w:vertAlign w:val="superscript"/>
        </w:rPr>
        <w:footnoteRef/>
      </w:r>
      <w:r>
        <w:t xml:space="preserve"> </w:t>
      </w:r>
      <w:r>
        <w:rPr>
          <w:smallCaps/>
        </w:rPr>
        <w:t>Cover, R. C.</w:t>
      </w:r>
      <w:r>
        <w:t>, “</w:t>
      </w:r>
      <w:hyperlink r:id="rId3" w:history="1">
        <w:r>
          <w:rPr>
            <w:color w:val="0000FF"/>
            <w:u w:val="single"/>
          </w:rPr>
          <w:t>Sin, Sinners: Old Testament</w:t>
        </w:r>
      </w:hyperlink>
      <w:r>
        <w:t xml:space="preserve">”, </w:t>
      </w:r>
      <w:r>
        <w:rPr>
          <w:i/>
        </w:rPr>
        <w:t>The Anchor Yale Bible Dictionary</w:t>
      </w:r>
      <w:r>
        <w:t xml:space="preserve"> 6, 32.</w:t>
      </w:r>
    </w:p>
  </w:footnote>
  <w:footnote w:id="6">
    <w:p w:rsidR="00DF7338" w:rsidRDefault="00DF7338" w:rsidP="00DF7338">
      <w:r>
        <w:t xml:space="preserve">Seux J. M. </w:t>
      </w:r>
      <w:proofErr w:type="spellStart"/>
      <w:r>
        <w:t>Seux</w:t>
      </w:r>
      <w:proofErr w:type="spellEnd"/>
      <w:r>
        <w:t xml:space="preserve">. 1968. </w:t>
      </w:r>
      <w:proofErr w:type="spellStart"/>
      <w:r>
        <w:rPr>
          <w:i/>
          <w:lang w:val="fr-FR"/>
        </w:rPr>
        <w:t>Epithètes</w:t>
      </w:r>
      <w:proofErr w:type="spellEnd"/>
      <w:r>
        <w:rPr>
          <w:i/>
          <w:lang w:val="fr-FR"/>
        </w:rPr>
        <w:t xml:space="preserve"> Royales Akkadiennes et Sumériennes</w:t>
      </w:r>
      <w:r>
        <w:t>. Paris</w:t>
      </w:r>
    </w:p>
  </w:footnote>
  <w:footnote w:id="7">
    <w:p w:rsidR="00DF7338" w:rsidRDefault="00DF7338" w:rsidP="00DF7338">
      <w:r>
        <w:rPr>
          <w:vertAlign w:val="superscript"/>
        </w:rPr>
        <w:footnoteRef/>
      </w:r>
      <w:r>
        <w:t xml:space="preserve"> </w:t>
      </w:r>
      <w:r>
        <w:rPr>
          <w:smallCaps/>
        </w:rPr>
        <w:t>Cover, R. C.</w:t>
      </w:r>
      <w:r>
        <w:t>, “</w:t>
      </w:r>
      <w:hyperlink r:id="rId4" w:history="1">
        <w:r>
          <w:rPr>
            <w:color w:val="0000FF"/>
            <w:u w:val="single"/>
          </w:rPr>
          <w:t>Sin, Sinners: Old Testament</w:t>
        </w:r>
      </w:hyperlink>
      <w:r>
        <w:t xml:space="preserve">”, </w:t>
      </w:r>
      <w:r>
        <w:rPr>
          <w:i/>
        </w:rPr>
        <w:t>The Anchor Yale Bible Dictionary</w:t>
      </w:r>
      <w:r>
        <w:t xml:space="preserve"> 6, 32.</w:t>
      </w:r>
    </w:p>
  </w:footnote>
  <w:footnote w:id="8">
    <w:p w:rsidR="001E294D" w:rsidRDefault="001E294D" w:rsidP="001E294D">
      <w:r>
        <w:rPr>
          <w:vertAlign w:val="superscript"/>
        </w:rPr>
        <w:footnoteRef/>
      </w:r>
      <w:r>
        <w:t xml:space="preserve"> </w:t>
      </w:r>
      <w:r>
        <w:rPr>
          <w:smallCaps/>
        </w:rPr>
        <w:t>Cover, R. C.</w:t>
      </w:r>
      <w:r>
        <w:t>, “</w:t>
      </w:r>
      <w:hyperlink r:id="rId5" w:history="1">
        <w:r>
          <w:rPr>
            <w:color w:val="0000FF"/>
            <w:u w:val="single"/>
          </w:rPr>
          <w:t>Sin, Sinners: Old Testament</w:t>
        </w:r>
      </w:hyperlink>
      <w:r>
        <w:t xml:space="preserve">”, </w:t>
      </w:r>
      <w:r>
        <w:rPr>
          <w:i/>
        </w:rPr>
        <w:t>The Anchor Yale Bible Dictionary</w:t>
      </w:r>
      <w:r>
        <w:t xml:space="preserve"> 6, 34.</w:t>
      </w:r>
    </w:p>
  </w:footnote>
  <w:footnote w:id="9">
    <w:p w:rsidR="001E294D" w:rsidRDefault="001E294D" w:rsidP="001E294D">
      <w:r>
        <w:rPr>
          <w:vertAlign w:val="superscript"/>
        </w:rPr>
        <w:footnoteRef/>
      </w:r>
      <w:r>
        <w:t xml:space="preserve"> </w:t>
      </w:r>
      <w:r>
        <w:rPr>
          <w:smallCaps/>
        </w:rPr>
        <w:t>Cover, R. C.</w:t>
      </w:r>
      <w:r>
        <w:t>, “</w:t>
      </w:r>
      <w:hyperlink r:id="rId6" w:history="1">
        <w:r>
          <w:rPr>
            <w:color w:val="0000FF"/>
            <w:u w:val="single"/>
          </w:rPr>
          <w:t>Sin, Sinners: Old Testament</w:t>
        </w:r>
      </w:hyperlink>
      <w:r>
        <w:t xml:space="preserve">”, </w:t>
      </w:r>
      <w:r>
        <w:rPr>
          <w:i/>
        </w:rPr>
        <w:t>The Anchor Yale Bible Dictionary</w:t>
      </w:r>
      <w:r>
        <w:t xml:space="preserve"> 6, 34.</w:t>
      </w:r>
    </w:p>
  </w:footnote>
  <w:footnote w:id="10">
    <w:p w:rsidR="001E294D" w:rsidRDefault="001E294D" w:rsidP="001E294D">
      <w:r>
        <w:rPr>
          <w:vertAlign w:val="superscript"/>
        </w:rPr>
        <w:footnoteRef/>
      </w:r>
      <w:r>
        <w:t xml:space="preserve"> </w:t>
      </w:r>
      <w:r>
        <w:rPr>
          <w:smallCaps/>
        </w:rPr>
        <w:t>Cover, R. C.</w:t>
      </w:r>
      <w:r>
        <w:t>, “</w:t>
      </w:r>
      <w:hyperlink r:id="rId7" w:history="1">
        <w:r>
          <w:rPr>
            <w:color w:val="0000FF"/>
            <w:u w:val="single"/>
          </w:rPr>
          <w:t>Sin, Sinners: Old Testament</w:t>
        </w:r>
      </w:hyperlink>
      <w:r>
        <w:t xml:space="preserve">”, </w:t>
      </w:r>
      <w:r>
        <w:rPr>
          <w:i/>
        </w:rPr>
        <w:t>The Anchor Yale Bible Dictionary</w:t>
      </w:r>
      <w:r>
        <w:t xml:space="preserve"> 6, 36.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7D"/>
    <w:rsid w:val="00021753"/>
    <w:rsid w:val="000A37FF"/>
    <w:rsid w:val="00140D15"/>
    <w:rsid w:val="00141062"/>
    <w:rsid w:val="001435DD"/>
    <w:rsid w:val="001B4E45"/>
    <w:rsid w:val="001C283B"/>
    <w:rsid w:val="001E294D"/>
    <w:rsid w:val="00321750"/>
    <w:rsid w:val="0044597D"/>
    <w:rsid w:val="004C4ED3"/>
    <w:rsid w:val="00512E46"/>
    <w:rsid w:val="0059221D"/>
    <w:rsid w:val="006F790C"/>
    <w:rsid w:val="00717DB5"/>
    <w:rsid w:val="0073659E"/>
    <w:rsid w:val="007844A6"/>
    <w:rsid w:val="007A16C8"/>
    <w:rsid w:val="009062FC"/>
    <w:rsid w:val="00AC1ED2"/>
    <w:rsid w:val="00B23D1E"/>
    <w:rsid w:val="00B436F0"/>
    <w:rsid w:val="00C50E31"/>
    <w:rsid w:val="00C543DF"/>
    <w:rsid w:val="00C60D23"/>
    <w:rsid w:val="00D0654A"/>
    <w:rsid w:val="00D37955"/>
    <w:rsid w:val="00D625AB"/>
    <w:rsid w:val="00DA2767"/>
    <w:rsid w:val="00DF36BB"/>
    <w:rsid w:val="00DF7338"/>
    <w:rsid w:val="00ED5AB2"/>
    <w:rsid w:val="00FC4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62AB51"/>
  <w15:chartTrackingRefBased/>
  <w15:docId w15:val="{65686041-8043-1344-AC39-F8C293AC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0D15"/>
    <w:rPr>
      <w:sz w:val="20"/>
      <w:szCs w:val="20"/>
    </w:rPr>
  </w:style>
  <w:style w:type="character" w:customStyle="1" w:styleId="FootnoteTextChar">
    <w:name w:val="Footnote Text Char"/>
    <w:basedOn w:val="DefaultParagraphFont"/>
    <w:link w:val="FootnoteText"/>
    <w:uiPriority w:val="99"/>
    <w:semiHidden/>
    <w:rsid w:val="00140D15"/>
    <w:rPr>
      <w:sz w:val="20"/>
      <w:szCs w:val="20"/>
    </w:rPr>
  </w:style>
  <w:style w:type="character" w:styleId="FootnoteReference">
    <w:name w:val="footnote reference"/>
    <w:basedOn w:val="DefaultParagraphFont"/>
    <w:uiPriority w:val="99"/>
    <w:semiHidden/>
    <w:unhideWhenUsed/>
    <w:rsid w:val="00140D15"/>
    <w:rPr>
      <w:vertAlign w:val="superscript"/>
    </w:rPr>
  </w:style>
  <w:style w:type="paragraph" w:styleId="Footer">
    <w:name w:val="footer"/>
    <w:basedOn w:val="Normal"/>
    <w:link w:val="FooterChar"/>
    <w:uiPriority w:val="99"/>
    <w:unhideWhenUsed/>
    <w:rsid w:val="001C283B"/>
    <w:pPr>
      <w:tabs>
        <w:tab w:val="center" w:pos="4680"/>
        <w:tab w:val="right" w:pos="9360"/>
      </w:tabs>
    </w:pPr>
  </w:style>
  <w:style w:type="character" w:customStyle="1" w:styleId="FooterChar">
    <w:name w:val="Footer Char"/>
    <w:basedOn w:val="DefaultParagraphFont"/>
    <w:link w:val="Footer"/>
    <w:uiPriority w:val="99"/>
    <w:rsid w:val="001C283B"/>
  </w:style>
  <w:style w:type="character" w:styleId="PageNumber">
    <w:name w:val="page number"/>
    <w:basedOn w:val="DefaultParagraphFont"/>
    <w:uiPriority w:val="99"/>
    <w:semiHidden/>
    <w:unhideWhenUsed/>
    <w:rsid w:val="001C2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anch?ref=VolumePage.V+6%2c+p+32&amp;off=6470&amp;ctx=iency+with+his+god:+~%E2%80%9CNever+has+a+sinless" TargetMode="External"/><Relationship Id="rId7" Type="http://schemas.openxmlformats.org/officeDocument/2006/relationships/hyperlink" Target="https://ref.ly/logosres/anch?ref=VolumePage.V+6%2c+p+36&amp;off=5213&amp;ctx=+Samuel%2c+1%E2%80%932+Kings.+~The+prophets+likewis" TargetMode="External"/><Relationship Id="rId2" Type="http://schemas.openxmlformats.org/officeDocument/2006/relationships/hyperlink" Target="https://ref.ly/logosres/anch?ref=VolumePage.V+6%2c+p+32&amp;off=1799&amp;ctx=he+case+with+h%CC%A3t%CC%A3%CA%BE.+~The+verb+ps%CC%8C%CA%BF+is+thu" TargetMode="External"/><Relationship Id="rId1" Type="http://schemas.openxmlformats.org/officeDocument/2006/relationships/hyperlink" Target="https://ref.ly/logosres/anch?ref=VolumePage.V+6%2c+p+32&amp;off=2823&amp;ctx=rm+for+%E2%80%9Csin%E2%80%9D+is+the+~noun+%CA%BFawo%CC%82n%2c+which+f" TargetMode="External"/><Relationship Id="rId6" Type="http://schemas.openxmlformats.org/officeDocument/2006/relationships/hyperlink" Target="https://ref.ly/logosres/anch?ref=VolumePage.V+6%2c+p+34&amp;off=2530&amp;ctx=els+(Num+4:13%2c+20).+~An+animal+raped+by+a" TargetMode="External"/><Relationship Id="rId5" Type="http://schemas.openxmlformats.org/officeDocument/2006/relationships/hyperlink" Target="https://ref.ly/logosres/anch?ref=VolumePage.V+6%2c+p+34&amp;off=117&amp;ctx=e+handiwork+of+God.+~They+might+accuse+Go" TargetMode="External"/><Relationship Id="rId4" Type="http://schemas.openxmlformats.org/officeDocument/2006/relationships/hyperlink" Target="https://ref.ly/logosres/anch?ref=VolumePage.V+6%2c+p+32&amp;off=6676&amp;ctx=a+similar+argument:+~%E2%80%9CWho+is+there+who+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8E80C-4D9A-2B43-A486-10388ADB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5</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19</cp:revision>
  <dcterms:created xsi:type="dcterms:W3CDTF">2020-11-10T07:21:00Z</dcterms:created>
  <dcterms:modified xsi:type="dcterms:W3CDTF">2020-11-29T16:07:00Z</dcterms:modified>
</cp:coreProperties>
</file>