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9DE" w:rsidRPr="0024439A" w:rsidRDefault="00D569DE" w:rsidP="00D569DE">
      <w:pPr>
        <w:spacing w:after="0"/>
        <w:jc w:val="center"/>
        <w:rPr>
          <w:rFonts w:ascii="Times New Roman" w:hAnsi="Times New Roman" w:cs="Times New Roman"/>
          <w:b/>
        </w:rPr>
      </w:pPr>
      <w:r w:rsidRPr="0024439A">
        <w:rPr>
          <w:rFonts w:ascii="Times New Roman" w:hAnsi="Times New Roman" w:cs="Times New Roman"/>
          <w:b/>
        </w:rPr>
        <w:t>DOMINICAN  INSTITUTE SAMONDA IBADAN.</w:t>
      </w:r>
    </w:p>
    <w:p w:rsidR="00D569DE" w:rsidRPr="0024439A" w:rsidRDefault="007539A3" w:rsidP="00D569DE">
      <w:pPr>
        <w:spacing w:after="0"/>
        <w:jc w:val="center"/>
        <w:rPr>
          <w:rFonts w:ascii="Times New Roman" w:hAnsi="Times New Roman" w:cs="Times New Roman"/>
          <w:b/>
        </w:rPr>
      </w:pPr>
      <w:r w:rsidRPr="0024439A">
        <w:rPr>
          <w:rFonts w:ascii="Times New Roman" w:hAnsi="Times New Roman" w:cs="Times New Roman"/>
          <w:b/>
        </w:rPr>
        <w:t>Second</w:t>
      </w:r>
      <w:r w:rsidR="00D569DE" w:rsidRPr="0024439A">
        <w:rPr>
          <w:rFonts w:ascii="Times New Roman" w:hAnsi="Times New Roman" w:cs="Times New Roman"/>
          <w:b/>
        </w:rPr>
        <w:t xml:space="preserve"> Semester Examination 2020/2021.</w:t>
      </w:r>
    </w:p>
    <w:p w:rsidR="00D569DE" w:rsidRPr="0024439A" w:rsidRDefault="00D569DE" w:rsidP="00D569DE">
      <w:pPr>
        <w:spacing w:after="0"/>
        <w:jc w:val="center"/>
        <w:rPr>
          <w:rFonts w:ascii="Times New Roman" w:hAnsi="Times New Roman" w:cs="Times New Roman"/>
        </w:rPr>
      </w:pPr>
      <w:r w:rsidRPr="0024439A">
        <w:rPr>
          <w:rFonts w:ascii="Times New Roman" w:hAnsi="Times New Roman" w:cs="Times New Roman"/>
          <w:b/>
        </w:rPr>
        <w:t>Course:</w:t>
      </w:r>
      <w:r w:rsidR="00E22988">
        <w:rPr>
          <w:rFonts w:ascii="Times New Roman" w:hAnsi="Times New Roman" w:cs="Times New Roman"/>
        </w:rPr>
        <w:t xml:space="preserve"> The Gospel of Matth</w:t>
      </w:r>
      <w:r w:rsidR="007539A3" w:rsidRPr="0024439A">
        <w:rPr>
          <w:rFonts w:ascii="Times New Roman" w:hAnsi="Times New Roman" w:cs="Times New Roman"/>
        </w:rPr>
        <w:t>ew (TH 312</w:t>
      </w:r>
      <w:r w:rsidRPr="0024439A">
        <w:rPr>
          <w:rFonts w:ascii="Times New Roman" w:hAnsi="Times New Roman" w:cs="Times New Roman"/>
        </w:rPr>
        <w:t>)</w:t>
      </w:r>
    </w:p>
    <w:p w:rsidR="00D569DE" w:rsidRPr="0024439A" w:rsidRDefault="00D569DE" w:rsidP="00D569DE">
      <w:pPr>
        <w:spacing w:after="0"/>
        <w:jc w:val="center"/>
        <w:rPr>
          <w:rFonts w:ascii="Times New Roman" w:hAnsi="Times New Roman" w:cs="Times New Roman"/>
        </w:rPr>
      </w:pPr>
      <w:r w:rsidRPr="0024439A">
        <w:rPr>
          <w:rFonts w:ascii="Times New Roman" w:hAnsi="Times New Roman" w:cs="Times New Roman"/>
          <w:b/>
        </w:rPr>
        <w:t>Lecturer:</w:t>
      </w:r>
      <w:r w:rsidRPr="0024439A">
        <w:rPr>
          <w:rFonts w:ascii="Times New Roman" w:hAnsi="Times New Roman" w:cs="Times New Roman"/>
        </w:rPr>
        <w:t xml:space="preserve"> Rev. Fr. Gilbert Munana, OP.</w:t>
      </w:r>
    </w:p>
    <w:p w:rsidR="00D569DE" w:rsidRPr="0024439A" w:rsidRDefault="00D569DE" w:rsidP="00D569DE">
      <w:pPr>
        <w:spacing w:after="0"/>
        <w:jc w:val="center"/>
        <w:rPr>
          <w:rFonts w:ascii="Times New Roman" w:hAnsi="Times New Roman" w:cs="Times New Roman"/>
        </w:rPr>
      </w:pPr>
      <w:r w:rsidRPr="0024439A">
        <w:rPr>
          <w:rFonts w:ascii="Times New Roman" w:hAnsi="Times New Roman" w:cs="Times New Roman"/>
          <w:b/>
        </w:rPr>
        <w:t>Student:</w:t>
      </w:r>
      <w:r w:rsidRPr="0024439A">
        <w:rPr>
          <w:rFonts w:ascii="Times New Roman" w:hAnsi="Times New Roman" w:cs="Times New Roman"/>
        </w:rPr>
        <w:t xml:space="preserve"> Ukagu Nnaemeka Desmond, DI/899.</w:t>
      </w:r>
    </w:p>
    <w:p w:rsidR="00D569DE" w:rsidRPr="0024439A" w:rsidRDefault="00D569DE" w:rsidP="0024439A">
      <w:pPr>
        <w:spacing w:after="0"/>
        <w:jc w:val="center"/>
        <w:rPr>
          <w:rFonts w:ascii="Times New Roman" w:hAnsi="Times New Roman" w:cs="Times New Roman"/>
        </w:rPr>
      </w:pPr>
      <w:r w:rsidRPr="0024439A">
        <w:rPr>
          <w:rFonts w:ascii="Times New Roman" w:hAnsi="Times New Roman" w:cs="Times New Roman"/>
          <w:b/>
        </w:rPr>
        <w:t>Date:</w:t>
      </w:r>
      <w:r w:rsidRPr="0024439A">
        <w:rPr>
          <w:rFonts w:ascii="Times New Roman" w:hAnsi="Times New Roman" w:cs="Times New Roman"/>
        </w:rPr>
        <w:t xml:space="preserve"> </w:t>
      </w:r>
      <w:r w:rsidR="007539A3" w:rsidRPr="0024439A">
        <w:rPr>
          <w:rFonts w:ascii="Times New Roman" w:hAnsi="Times New Roman" w:cs="Times New Roman"/>
        </w:rPr>
        <w:t>17</w:t>
      </w:r>
      <w:r w:rsidRPr="0024439A">
        <w:rPr>
          <w:rFonts w:ascii="Times New Roman" w:hAnsi="Times New Roman" w:cs="Times New Roman"/>
          <w:vertAlign w:val="superscript"/>
        </w:rPr>
        <w:t>th</w:t>
      </w:r>
      <w:r w:rsidR="007539A3" w:rsidRPr="0024439A">
        <w:rPr>
          <w:rFonts w:ascii="Times New Roman" w:hAnsi="Times New Roman" w:cs="Times New Roman"/>
        </w:rPr>
        <w:t xml:space="preserve"> June</w:t>
      </w:r>
      <w:r w:rsidRPr="0024439A">
        <w:rPr>
          <w:rFonts w:ascii="Times New Roman" w:hAnsi="Times New Roman" w:cs="Times New Roman"/>
        </w:rPr>
        <w:t xml:space="preserve"> 2021.</w:t>
      </w:r>
    </w:p>
    <w:p w:rsidR="00D569DE" w:rsidRDefault="00D569DE" w:rsidP="00D569DE">
      <w:pPr>
        <w:autoSpaceDE w:val="0"/>
        <w:autoSpaceDN w:val="0"/>
        <w:adjustRightInd w:val="0"/>
        <w:spacing w:after="0"/>
        <w:jc w:val="both"/>
        <w:rPr>
          <w:rFonts w:ascii="Times New Roman" w:hAnsi="Times New Roman" w:cs="Times New Roman"/>
          <w:b/>
          <w:bCs/>
          <w:sz w:val="24"/>
          <w:szCs w:val="24"/>
        </w:rPr>
      </w:pPr>
      <w:r w:rsidRPr="00471713">
        <w:rPr>
          <w:rFonts w:ascii="Times New Roman" w:hAnsi="Times New Roman" w:cs="Times New Roman"/>
          <w:b/>
          <w:sz w:val="24"/>
          <w:szCs w:val="24"/>
        </w:rPr>
        <w:t>QUESTION 1:</w:t>
      </w:r>
      <w:r w:rsidR="007539A3">
        <w:rPr>
          <w:rFonts w:ascii="Times New Roman" w:hAnsi="Times New Roman" w:cs="Times New Roman"/>
          <w:sz w:val="24"/>
          <w:szCs w:val="24"/>
        </w:rPr>
        <w:t xml:space="preserve"> </w:t>
      </w:r>
      <w:r w:rsidR="007539A3" w:rsidRPr="00D569DE">
        <w:rPr>
          <w:rFonts w:ascii="Times New Roman" w:hAnsi="Times New Roman" w:cs="Times New Roman"/>
          <w:b/>
          <w:bCs/>
          <w:sz w:val="24"/>
          <w:szCs w:val="24"/>
        </w:rPr>
        <w:t>Comparison: Matthew and Luke</w:t>
      </w:r>
    </w:p>
    <w:p w:rsidR="0006711C" w:rsidRDefault="00D569DE" w:rsidP="0006711C">
      <w:pPr>
        <w:autoSpaceDE w:val="0"/>
        <w:autoSpaceDN w:val="0"/>
        <w:adjustRightInd w:val="0"/>
        <w:spacing w:after="0"/>
        <w:jc w:val="both"/>
        <w:rPr>
          <w:rFonts w:ascii="Times New Roman" w:hAnsi="Times New Roman" w:cs="Times New Roman"/>
          <w:sz w:val="24"/>
          <w:szCs w:val="24"/>
        </w:rPr>
      </w:pPr>
      <w:r w:rsidRPr="00D569DE">
        <w:rPr>
          <w:rFonts w:ascii="Times New Roman" w:hAnsi="Times New Roman" w:cs="Times New Roman"/>
          <w:sz w:val="24"/>
          <w:szCs w:val="24"/>
        </w:rPr>
        <w:t>Despite the tendency to harmonize the two accounts for the sake of apologetics or</w:t>
      </w:r>
      <w:r>
        <w:rPr>
          <w:rFonts w:ascii="Times New Roman" w:hAnsi="Times New Roman" w:cs="Times New Roman"/>
          <w:sz w:val="24"/>
          <w:szCs w:val="24"/>
        </w:rPr>
        <w:t xml:space="preserve"> </w:t>
      </w:r>
      <w:r w:rsidRPr="00D569DE">
        <w:rPr>
          <w:rFonts w:ascii="Times New Roman" w:hAnsi="Times New Roman" w:cs="Times New Roman"/>
          <w:sz w:val="24"/>
          <w:szCs w:val="24"/>
        </w:rPr>
        <w:t>merely for dramatic presentation, from a literary standpoint, the birth accounts in</w:t>
      </w:r>
      <w:r>
        <w:rPr>
          <w:rFonts w:ascii="Times New Roman" w:hAnsi="Times New Roman" w:cs="Times New Roman"/>
          <w:sz w:val="24"/>
          <w:szCs w:val="24"/>
        </w:rPr>
        <w:t xml:space="preserve"> </w:t>
      </w:r>
      <w:r w:rsidRPr="003612B4">
        <w:rPr>
          <w:rFonts w:ascii="Times New Roman" w:hAnsi="Times New Roman" w:cs="Times New Roman"/>
          <w:b/>
          <w:sz w:val="24"/>
          <w:szCs w:val="24"/>
        </w:rPr>
        <w:t>Matthew</w:t>
      </w:r>
      <w:r w:rsidRPr="00D569DE">
        <w:rPr>
          <w:rFonts w:ascii="Times New Roman" w:hAnsi="Times New Roman" w:cs="Times New Roman"/>
          <w:sz w:val="24"/>
          <w:szCs w:val="24"/>
        </w:rPr>
        <w:t xml:space="preserve"> and </w:t>
      </w:r>
      <w:r w:rsidRPr="003612B4">
        <w:rPr>
          <w:rFonts w:ascii="Times New Roman" w:hAnsi="Times New Roman" w:cs="Times New Roman"/>
          <w:b/>
          <w:sz w:val="24"/>
          <w:szCs w:val="24"/>
        </w:rPr>
        <w:t>Luke</w:t>
      </w:r>
      <w:r w:rsidRPr="00D569DE">
        <w:rPr>
          <w:rFonts w:ascii="Times New Roman" w:hAnsi="Times New Roman" w:cs="Times New Roman"/>
          <w:sz w:val="24"/>
          <w:szCs w:val="24"/>
        </w:rPr>
        <w:t xml:space="preserve"> are radically different. While Matthew’s account focuses more on</w:t>
      </w:r>
      <w:r>
        <w:rPr>
          <w:rFonts w:ascii="Times New Roman" w:hAnsi="Times New Roman" w:cs="Times New Roman"/>
          <w:sz w:val="24"/>
          <w:szCs w:val="24"/>
        </w:rPr>
        <w:t xml:space="preserve"> </w:t>
      </w:r>
      <w:r w:rsidRPr="00D569DE">
        <w:rPr>
          <w:rFonts w:ascii="Times New Roman" w:hAnsi="Times New Roman" w:cs="Times New Roman"/>
          <w:sz w:val="24"/>
          <w:szCs w:val="24"/>
        </w:rPr>
        <w:t>Joseph, Luke’s account focuses more on Mary. Matthew’s account begins with a</w:t>
      </w:r>
      <w:r>
        <w:rPr>
          <w:rFonts w:ascii="Times New Roman" w:hAnsi="Times New Roman" w:cs="Times New Roman"/>
          <w:sz w:val="24"/>
          <w:szCs w:val="24"/>
        </w:rPr>
        <w:t xml:space="preserve"> </w:t>
      </w:r>
      <w:r w:rsidRPr="00D569DE">
        <w:rPr>
          <w:rFonts w:ascii="Times New Roman" w:hAnsi="Times New Roman" w:cs="Times New Roman"/>
          <w:sz w:val="24"/>
          <w:szCs w:val="24"/>
        </w:rPr>
        <w:t>genealogy (1:1–17) while Luke does not include a genealogy until Chapter 3, outside of</w:t>
      </w:r>
      <w:r>
        <w:rPr>
          <w:rFonts w:ascii="Times New Roman" w:hAnsi="Times New Roman" w:cs="Times New Roman"/>
          <w:sz w:val="24"/>
          <w:szCs w:val="24"/>
        </w:rPr>
        <w:t xml:space="preserve"> </w:t>
      </w:r>
      <w:r w:rsidRPr="00D569DE">
        <w:rPr>
          <w:rFonts w:ascii="Times New Roman" w:hAnsi="Times New Roman" w:cs="Times New Roman"/>
          <w:sz w:val="24"/>
          <w:szCs w:val="24"/>
        </w:rPr>
        <w:t>the birth narrative itself (Luke 3:23–38). The two genealogical lists are different in names</w:t>
      </w:r>
      <w:r>
        <w:rPr>
          <w:rFonts w:ascii="Times New Roman" w:hAnsi="Times New Roman" w:cs="Times New Roman"/>
          <w:sz w:val="24"/>
          <w:szCs w:val="24"/>
        </w:rPr>
        <w:t xml:space="preserve"> </w:t>
      </w:r>
      <w:r w:rsidRPr="00D569DE">
        <w:rPr>
          <w:rFonts w:ascii="Times New Roman" w:hAnsi="Times New Roman" w:cs="Times New Roman"/>
          <w:sz w:val="24"/>
          <w:szCs w:val="24"/>
        </w:rPr>
        <w:t>and starting points. Luke’s genealogy begins with Jesus and goes backward to Adam</w:t>
      </w:r>
      <w:r>
        <w:rPr>
          <w:rFonts w:ascii="Times New Roman" w:hAnsi="Times New Roman" w:cs="Times New Roman"/>
          <w:sz w:val="24"/>
          <w:szCs w:val="24"/>
        </w:rPr>
        <w:t xml:space="preserve"> </w:t>
      </w:r>
      <w:r w:rsidRPr="00D569DE">
        <w:rPr>
          <w:rFonts w:ascii="Times New Roman" w:hAnsi="Times New Roman" w:cs="Times New Roman"/>
          <w:sz w:val="24"/>
          <w:szCs w:val="24"/>
        </w:rPr>
        <w:t>while Matthew’s list begins with Abraham and goes forward to Jesus. While Matthew’s</w:t>
      </w:r>
      <w:r>
        <w:rPr>
          <w:rFonts w:ascii="Times New Roman" w:hAnsi="Times New Roman" w:cs="Times New Roman"/>
          <w:sz w:val="24"/>
          <w:szCs w:val="24"/>
        </w:rPr>
        <w:t xml:space="preserve"> </w:t>
      </w:r>
      <w:r w:rsidRPr="00D569DE">
        <w:rPr>
          <w:rFonts w:ascii="Times New Roman" w:hAnsi="Times New Roman" w:cs="Times New Roman"/>
          <w:sz w:val="24"/>
          <w:szCs w:val="24"/>
        </w:rPr>
        <w:t>narrative begins with the genealogy, Luke’s begins with a prologue, indicating the careful</w:t>
      </w:r>
      <w:r>
        <w:rPr>
          <w:rFonts w:ascii="Times New Roman" w:hAnsi="Times New Roman" w:cs="Times New Roman"/>
          <w:sz w:val="24"/>
          <w:szCs w:val="24"/>
        </w:rPr>
        <w:t xml:space="preserve"> </w:t>
      </w:r>
      <w:r w:rsidRPr="00D569DE">
        <w:rPr>
          <w:rFonts w:ascii="Times New Roman" w:hAnsi="Times New Roman" w:cs="Times New Roman"/>
          <w:sz w:val="24"/>
          <w:szCs w:val="24"/>
        </w:rPr>
        <w:t>research done to certify the validity of his entire account (1:1–4) before picking up the</w:t>
      </w:r>
      <w:r w:rsidR="0006711C">
        <w:rPr>
          <w:rFonts w:ascii="Times New Roman" w:hAnsi="Times New Roman" w:cs="Times New Roman"/>
          <w:sz w:val="24"/>
          <w:szCs w:val="24"/>
        </w:rPr>
        <w:t xml:space="preserve"> </w:t>
      </w:r>
      <w:r w:rsidR="0006711C" w:rsidRPr="0006711C">
        <w:rPr>
          <w:rFonts w:ascii="Times New Roman" w:hAnsi="Times New Roman" w:cs="Times New Roman"/>
          <w:sz w:val="24"/>
          <w:szCs w:val="24"/>
        </w:rPr>
        <w:t>birth story with the foretelling of John the Baptist’s birth (1:5–25). The events</w:t>
      </w:r>
      <w:r w:rsidR="0006711C">
        <w:rPr>
          <w:rFonts w:ascii="Times New Roman" w:hAnsi="Times New Roman" w:cs="Times New Roman"/>
          <w:sz w:val="24"/>
          <w:szCs w:val="24"/>
        </w:rPr>
        <w:t xml:space="preserve"> </w:t>
      </w:r>
      <w:r w:rsidR="0006711C" w:rsidRPr="0006711C">
        <w:rPr>
          <w:rFonts w:ascii="Times New Roman" w:hAnsi="Times New Roman" w:cs="Times New Roman"/>
          <w:sz w:val="24"/>
          <w:szCs w:val="24"/>
        </w:rPr>
        <w:t>immediately surrounding the birth of Jesus are confined to Matt 1:18–25 (with post-birth</w:t>
      </w:r>
      <w:r w:rsidR="0006711C">
        <w:rPr>
          <w:rFonts w:ascii="Times New Roman" w:hAnsi="Times New Roman" w:cs="Times New Roman"/>
          <w:sz w:val="24"/>
          <w:szCs w:val="24"/>
        </w:rPr>
        <w:t xml:space="preserve"> </w:t>
      </w:r>
      <w:r w:rsidR="0006711C" w:rsidRPr="0006711C">
        <w:rPr>
          <w:rFonts w:ascii="Times New Roman" w:hAnsi="Times New Roman" w:cs="Times New Roman"/>
          <w:sz w:val="24"/>
          <w:szCs w:val="24"/>
        </w:rPr>
        <w:t>events being presented in Matthew 2), while in the third Gospel, they consist of Luke</w:t>
      </w:r>
      <w:r w:rsidR="0006711C">
        <w:rPr>
          <w:rFonts w:ascii="Times New Roman" w:hAnsi="Times New Roman" w:cs="Times New Roman"/>
          <w:sz w:val="24"/>
          <w:szCs w:val="24"/>
        </w:rPr>
        <w:t xml:space="preserve"> </w:t>
      </w:r>
      <w:r w:rsidR="0006711C" w:rsidRPr="0006711C">
        <w:rPr>
          <w:rFonts w:ascii="Times New Roman" w:hAnsi="Times New Roman" w:cs="Times New Roman"/>
          <w:sz w:val="24"/>
          <w:szCs w:val="24"/>
        </w:rPr>
        <w:t>1:5–2:20 (through 2:40 if one includes the events surrounding Jesus’ circumcision). The</w:t>
      </w:r>
      <w:r w:rsidR="0006711C">
        <w:rPr>
          <w:rFonts w:ascii="Times New Roman" w:hAnsi="Times New Roman" w:cs="Times New Roman"/>
          <w:sz w:val="24"/>
          <w:szCs w:val="24"/>
        </w:rPr>
        <w:t xml:space="preserve"> </w:t>
      </w:r>
      <w:r w:rsidR="0006711C" w:rsidRPr="0006711C">
        <w:rPr>
          <w:rFonts w:ascii="Times New Roman" w:hAnsi="Times New Roman" w:cs="Times New Roman"/>
          <w:sz w:val="24"/>
          <w:szCs w:val="24"/>
        </w:rPr>
        <w:t>inclusion of the events surrounding John the Baptist’s birth as well as the Magnificat of</w:t>
      </w:r>
      <w:r w:rsidR="0006711C">
        <w:rPr>
          <w:rFonts w:ascii="Times New Roman" w:hAnsi="Times New Roman" w:cs="Times New Roman"/>
          <w:sz w:val="24"/>
          <w:szCs w:val="24"/>
        </w:rPr>
        <w:t xml:space="preserve"> </w:t>
      </w:r>
      <w:r w:rsidR="0006711C" w:rsidRPr="0006711C">
        <w:rPr>
          <w:rFonts w:ascii="Times New Roman" w:hAnsi="Times New Roman" w:cs="Times New Roman"/>
          <w:sz w:val="24"/>
          <w:szCs w:val="24"/>
        </w:rPr>
        <w:t>Mary and Zechariah’s prophecy account for much of the text in Luke.</w:t>
      </w:r>
      <w:r w:rsidR="0006711C">
        <w:rPr>
          <w:rStyle w:val="FootnoteReference"/>
          <w:rFonts w:ascii="Times New Roman" w:hAnsi="Times New Roman" w:cs="Times New Roman"/>
          <w:sz w:val="24"/>
          <w:szCs w:val="24"/>
        </w:rPr>
        <w:footnoteReference w:id="2"/>
      </w:r>
    </w:p>
    <w:p w:rsidR="0006711C" w:rsidRDefault="0006711C" w:rsidP="0006711C">
      <w:pPr>
        <w:autoSpaceDE w:val="0"/>
        <w:autoSpaceDN w:val="0"/>
        <w:adjustRightInd w:val="0"/>
        <w:spacing w:after="0"/>
        <w:jc w:val="both"/>
        <w:rPr>
          <w:rFonts w:ascii="Times New Roman" w:hAnsi="Times New Roman" w:cs="Times New Roman"/>
          <w:sz w:val="24"/>
          <w:szCs w:val="24"/>
        </w:rPr>
      </w:pPr>
      <w:r w:rsidRPr="0006711C">
        <w:rPr>
          <w:rFonts w:ascii="Times New Roman" w:hAnsi="Times New Roman" w:cs="Times New Roman"/>
          <w:sz w:val="24"/>
          <w:szCs w:val="24"/>
        </w:rPr>
        <w:t>However, to the pre-birth materials, there are other events and characters which</w:t>
      </w:r>
      <w:r>
        <w:rPr>
          <w:rFonts w:ascii="Times New Roman" w:hAnsi="Times New Roman" w:cs="Times New Roman"/>
          <w:sz w:val="24"/>
          <w:szCs w:val="24"/>
        </w:rPr>
        <w:t xml:space="preserve"> </w:t>
      </w:r>
      <w:r w:rsidRPr="0006711C">
        <w:rPr>
          <w:rFonts w:ascii="Times New Roman" w:hAnsi="Times New Roman" w:cs="Times New Roman"/>
          <w:sz w:val="24"/>
          <w:szCs w:val="24"/>
        </w:rPr>
        <w:t xml:space="preserve">are unique to each Gospel account. </w:t>
      </w:r>
      <w:r w:rsidRPr="00F07349">
        <w:rPr>
          <w:rFonts w:ascii="Times New Roman" w:hAnsi="Times New Roman" w:cs="Times New Roman"/>
          <w:b/>
          <w:sz w:val="24"/>
          <w:szCs w:val="24"/>
        </w:rPr>
        <w:t xml:space="preserve">Luke’s </w:t>
      </w:r>
      <w:r w:rsidRPr="0006711C">
        <w:rPr>
          <w:rFonts w:ascii="Times New Roman" w:hAnsi="Times New Roman" w:cs="Times New Roman"/>
          <w:sz w:val="24"/>
          <w:szCs w:val="24"/>
        </w:rPr>
        <w:t>account includes a census, which brings</w:t>
      </w:r>
      <w:r>
        <w:rPr>
          <w:rFonts w:ascii="Times New Roman" w:hAnsi="Times New Roman" w:cs="Times New Roman"/>
          <w:sz w:val="24"/>
          <w:szCs w:val="24"/>
        </w:rPr>
        <w:t xml:space="preserve"> </w:t>
      </w:r>
      <w:r w:rsidRPr="0006711C">
        <w:rPr>
          <w:rFonts w:ascii="Times New Roman" w:hAnsi="Times New Roman" w:cs="Times New Roman"/>
          <w:sz w:val="24"/>
          <w:szCs w:val="24"/>
        </w:rPr>
        <w:t xml:space="preserve">Joseph to Bethlehem, the visit by the shepherds, the presentation of Jesus at the Temple and return to Nazareth, and the teaching in the Temple at age twelve. </w:t>
      </w:r>
      <w:r w:rsidRPr="00F07349">
        <w:rPr>
          <w:rFonts w:ascii="Times New Roman" w:hAnsi="Times New Roman" w:cs="Times New Roman"/>
          <w:b/>
          <w:sz w:val="24"/>
          <w:szCs w:val="24"/>
        </w:rPr>
        <w:t>Matthew’s</w:t>
      </w:r>
      <w:r w:rsidRPr="0006711C">
        <w:rPr>
          <w:rFonts w:ascii="Times New Roman" w:hAnsi="Times New Roman" w:cs="Times New Roman"/>
          <w:sz w:val="24"/>
          <w:szCs w:val="24"/>
        </w:rPr>
        <w:t xml:space="preserve"> account includes the magi and moving star, Herod’s massacre of the children in Bethlehem, and the flight of the family into Egypt. Some scholars, such as Raymond Brown, believe that the two accounts are not only different in details but also contradictory, focusing much on how each writer moves the family to Bethlehem.</w:t>
      </w:r>
    </w:p>
    <w:p w:rsidR="00093C26" w:rsidRDefault="00093C26" w:rsidP="0006711C">
      <w:pPr>
        <w:autoSpaceDE w:val="0"/>
        <w:autoSpaceDN w:val="0"/>
        <w:adjustRightInd w:val="0"/>
        <w:spacing w:after="0"/>
        <w:jc w:val="both"/>
        <w:rPr>
          <w:rFonts w:ascii="Times New Roman" w:hAnsi="Times New Roman" w:cs="Times New Roman"/>
          <w:b/>
          <w:sz w:val="24"/>
          <w:szCs w:val="24"/>
        </w:rPr>
      </w:pPr>
    </w:p>
    <w:p w:rsidR="00093C26" w:rsidRDefault="00093C26" w:rsidP="0006711C">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Question 1B</w:t>
      </w:r>
      <w:r w:rsidR="007A77D0">
        <w:rPr>
          <w:rFonts w:ascii="Times New Roman" w:hAnsi="Times New Roman" w:cs="Times New Roman"/>
          <w:b/>
          <w:sz w:val="24"/>
          <w:szCs w:val="24"/>
        </w:rPr>
        <w:t>:</w:t>
      </w:r>
      <w:r>
        <w:rPr>
          <w:rFonts w:ascii="Times New Roman" w:hAnsi="Times New Roman" w:cs="Times New Roman"/>
          <w:b/>
          <w:sz w:val="24"/>
          <w:szCs w:val="24"/>
        </w:rPr>
        <w:t xml:space="preserve"> interpretation of the presence of the five women in the genealogy of Jesus?</w:t>
      </w:r>
    </w:p>
    <w:p w:rsidR="0024439A" w:rsidRDefault="00093C26" w:rsidP="0024439A">
      <w:pPr>
        <w:spacing w:after="0"/>
        <w:jc w:val="both"/>
        <w:rPr>
          <w:rFonts w:ascii="Times New Roman" w:hAnsi="Times New Roman" w:cs="Times New Roman"/>
          <w:sz w:val="24"/>
          <w:szCs w:val="24"/>
        </w:rPr>
      </w:pPr>
      <w:r w:rsidRPr="000B2BAE">
        <w:rPr>
          <w:rFonts w:ascii="Times New Roman" w:hAnsi="Times New Roman" w:cs="Times New Roman"/>
          <w:sz w:val="24"/>
          <w:szCs w:val="24"/>
        </w:rPr>
        <w:t>Five women are included, mostly poor, mostly misfits, widows, unimportant, unknown, sinful women who changed the course of history by their simple, obedient lives. One might suppose that the women in Jesus the Messiah’s genealogy should have all been the finest Jewish women, but they weren’t. Most weren’t even Jewish at all. And except for Ruth and Mary, they had tarnished sexual histories. They were ordinary women, trying to get life right, but missing the goal.</w:t>
      </w:r>
      <w:r>
        <w:rPr>
          <w:rFonts w:ascii="Times New Roman" w:hAnsi="Times New Roman" w:cs="Times New Roman"/>
          <w:sz w:val="24"/>
          <w:szCs w:val="24"/>
        </w:rPr>
        <w:t xml:space="preserve"> </w:t>
      </w:r>
      <w:r w:rsidRPr="000B2BAE">
        <w:rPr>
          <w:rFonts w:ascii="Times New Roman" w:hAnsi="Times New Roman" w:cs="Times New Roman"/>
          <w:sz w:val="24"/>
          <w:szCs w:val="24"/>
        </w:rPr>
        <w:t>In other words, they were women just like us: ordinary, tarnished by sin, unlikely to shape the course of history. They are in the Savior’s genealogy to give us hope, and to foreshadow the kind of people Jesus the Messiah came to save.</w:t>
      </w:r>
    </w:p>
    <w:p w:rsidR="0006711C" w:rsidRPr="0024439A" w:rsidRDefault="0006711C" w:rsidP="0024439A">
      <w:pPr>
        <w:spacing w:after="0"/>
        <w:jc w:val="both"/>
        <w:rPr>
          <w:rFonts w:ascii="Times New Roman" w:hAnsi="Times New Roman" w:cs="Times New Roman"/>
          <w:sz w:val="24"/>
          <w:szCs w:val="24"/>
        </w:rPr>
      </w:pPr>
      <w:r w:rsidRPr="0006711C">
        <w:rPr>
          <w:rFonts w:ascii="Times New Roman" w:hAnsi="Times New Roman" w:cs="Times New Roman"/>
          <w:b/>
          <w:sz w:val="24"/>
          <w:szCs w:val="24"/>
        </w:rPr>
        <w:lastRenderedPageBreak/>
        <w:t>Conclusion</w:t>
      </w:r>
    </w:p>
    <w:p w:rsidR="00093C26" w:rsidRDefault="006B4C7F" w:rsidP="0024439A">
      <w:pPr>
        <w:spacing w:after="0"/>
        <w:jc w:val="both"/>
        <w:rPr>
          <w:rFonts w:ascii="Times New Roman" w:hAnsi="Times New Roman" w:cs="Times New Roman"/>
          <w:sz w:val="24"/>
          <w:szCs w:val="24"/>
        </w:rPr>
      </w:pPr>
      <w:r>
        <w:rPr>
          <w:rFonts w:ascii="Times New Roman" w:hAnsi="Times New Roman" w:cs="Times New Roman"/>
          <w:sz w:val="24"/>
          <w:szCs w:val="24"/>
        </w:rPr>
        <w:t xml:space="preserve">From the foregoing it cannot be </w:t>
      </w:r>
      <w:r w:rsidRPr="00523790">
        <w:rPr>
          <w:rFonts w:ascii="Times New Roman" w:hAnsi="Times New Roman" w:cs="Times New Roman"/>
          <w:sz w:val="24"/>
          <w:szCs w:val="24"/>
        </w:rPr>
        <w:t>overemphasi</w:t>
      </w:r>
      <w:r w:rsidR="00523790" w:rsidRPr="00523790">
        <w:rPr>
          <w:rFonts w:ascii="Times New Roman" w:hAnsi="Times New Roman" w:cs="Times New Roman"/>
          <w:sz w:val="24"/>
          <w:szCs w:val="24"/>
        </w:rPr>
        <w:t xml:space="preserve">zed </w:t>
      </w:r>
      <w:r w:rsidR="00523790">
        <w:rPr>
          <w:rFonts w:ascii="Times New Roman" w:hAnsi="Times New Roman" w:cs="Times New Roman"/>
          <w:sz w:val="24"/>
          <w:szCs w:val="24"/>
        </w:rPr>
        <w:t xml:space="preserve">that the Infancy Narratives of </w:t>
      </w:r>
      <w:r w:rsidR="00523790" w:rsidRPr="00523790">
        <w:rPr>
          <w:rFonts w:ascii="Times New Roman" w:hAnsi="Times New Roman" w:cs="Times New Roman"/>
          <w:sz w:val="24"/>
          <w:szCs w:val="24"/>
        </w:rPr>
        <w:t xml:space="preserve">Matthew and Luke have discernable and significant points </w:t>
      </w:r>
      <w:r w:rsidR="001F1921">
        <w:rPr>
          <w:rFonts w:ascii="Times New Roman" w:hAnsi="Times New Roman" w:cs="Times New Roman"/>
          <w:sz w:val="24"/>
          <w:szCs w:val="24"/>
        </w:rPr>
        <w:t>of commonality and difference.</w:t>
      </w:r>
      <w:r w:rsidR="00523790" w:rsidRPr="00523790">
        <w:rPr>
          <w:rFonts w:ascii="Times New Roman" w:hAnsi="Times New Roman" w:cs="Times New Roman"/>
          <w:sz w:val="24"/>
          <w:szCs w:val="24"/>
        </w:rPr>
        <w:t xml:space="preserve"> Both writers are intent on establishing Jesus as the divine Son of God from the very beginning and this is attested to in both Infancy Narratives.</w:t>
      </w:r>
      <w:r w:rsidR="00093C26">
        <w:rPr>
          <w:rFonts w:ascii="Times New Roman" w:hAnsi="Times New Roman" w:cs="Times New Roman"/>
          <w:sz w:val="24"/>
          <w:szCs w:val="24"/>
        </w:rPr>
        <w:t xml:space="preserve"> Thus, </w:t>
      </w:r>
      <w:r w:rsidR="00296664">
        <w:rPr>
          <w:rFonts w:ascii="Times New Roman" w:hAnsi="Times New Roman" w:cs="Times New Roman"/>
          <w:sz w:val="24"/>
          <w:szCs w:val="24"/>
        </w:rPr>
        <w:t>Jesus</w:t>
      </w:r>
      <w:r w:rsidR="00093C26" w:rsidRPr="000B2BAE">
        <w:rPr>
          <w:rFonts w:ascii="Times New Roman" w:hAnsi="Times New Roman" w:cs="Times New Roman"/>
          <w:sz w:val="24"/>
          <w:szCs w:val="24"/>
        </w:rPr>
        <w:t xml:space="preserve"> offers to give our simple lives great significance as </w:t>
      </w:r>
      <w:r w:rsidR="00342043">
        <w:rPr>
          <w:rFonts w:ascii="Times New Roman" w:hAnsi="Times New Roman" w:cs="Times New Roman"/>
          <w:sz w:val="24"/>
          <w:szCs w:val="24"/>
        </w:rPr>
        <w:t>we follow him. Like the women in</w:t>
      </w:r>
      <w:r w:rsidR="00093C26" w:rsidRPr="000B2BAE">
        <w:rPr>
          <w:rFonts w:ascii="Times New Roman" w:hAnsi="Times New Roman" w:cs="Times New Roman"/>
          <w:sz w:val="24"/>
          <w:szCs w:val="24"/>
        </w:rPr>
        <w:t xml:space="preserve"> the genealogy who put their hope in the coming Messiah, following him is worth far more than we will know until eternity.</w:t>
      </w:r>
    </w:p>
    <w:p w:rsidR="0024439A" w:rsidRDefault="0024439A" w:rsidP="00093C26">
      <w:pPr>
        <w:jc w:val="both"/>
        <w:rPr>
          <w:rFonts w:ascii="Times New Roman" w:hAnsi="Times New Roman" w:cs="Times New Roman"/>
          <w:b/>
          <w:sz w:val="24"/>
          <w:szCs w:val="24"/>
        </w:rPr>
      </w:pPr>
    </w:p>
    <w:p w:rsidR="000941F4" w:rsidRPr="000B2BAE" w:rsidRDefault="000941F4" w:rsidP="0024439A">
      <w:pPr>
        <w:spacing w:after="0"/>
        <w:jc w:val="both"/>
        <w:rPr>
          <w:rFonts w:ascii="Times New Roman" w:hAnsi="Times New Roman" w:cs="Times New Roman"/>
          <w:sz w:val="24"/>
          <w:szCs w:val="24"/>
        </w:rPr>
      </w:pPr>
      <w:r w:rsidRPr="000941F4">
        <w:rPr>
          <w:rFonts w:ascii="Times New Roman" w:hAnsi="Times New Roman" w:cs="Times New Roman"/>
          <w:b/>
          <w:sz w:val="24"/>
          <w:szCs w:val="24"/>
        </w:rPr>
        <w:t>Q</w:t>
      </w:r>
      <w:r w:rsidR="00471713">
        <w:rPr>
          <w:rFonts w:ascii="Times New Roman" w:hAnsi="Times New Roman" w:cs="Times New Roman"/>
          <w:b/>
          <w:sz w:val="24"/>
          <w:szCs w:val="24"/>
        </w:rPr>
        <w:t>UESTION</w:t>
      </w:r>
      <w:r w:rsidRPr="000941F4">
        <w:rPr>
          <w:rFonts w:ascii="Times New Roman" w:hAnsi="Times New Roman" w:cs="Times New Roman"/>
          <w:b/>
          <w:sz w:val="24"/>
          <w:szCs w:val="24"/>
        </w:rPr>
        <w:t xml:space="preserve"> 3:</w:t>
      </w:r>
      <w:r>
        <w:rPr>
          <w:rFonts w:ascii="Times New Roman" w:hAnsi="Times New Roman" w:cs="Times New Roman"/>
          <w:sz w:val="24"/>
          <w:szCs w:val="24"/>
        </w:rPr>
        <w:t xml:space="preserve"> </w:t>
      </w:r>
      <w:r w:rsidRPr="000E63E5">
        <w:rPr>
          <w:rFonts w:ascii="Times New Roman" w:hAnsi="Times New Roman" w:cs="Times New Roman"/>
          <w:b/>
          <w:sz w:val="24"/>
          <w:szCs w:val="24"/>
        </w:rPr>
        <w:t>Expose and Explain Christology of Matthew?</w:t>
      </w:r>
    </w:p>
    <w:p w:rsidR="0006711C" w:rsidRDefault="00E16D7C" w:rsidP="0024439A">
      <w:pPr>
        <w:autoSpaceDE w:val="0"/>
        <w:autoSpaceDN w:val="0"/>
        <w:adjustRightInd w:val="0"/>
        <w:spacing w:after="0"/>
        <w:jc w:val="both"/>
        <w:rPr>
          <w:rFonts w:ascii="Times New Roman" w:hAnsi="Times New Roman" w:cs="Times New Roman"/>
          <w:sz w:val="24"/>
        </w:rPr>
      </w:pPr>
      <w:r w:rsidRPr="00E16D7C">
        <w:rPr>
          <w:rFonts w:ascii="Times New Roman" w:hAnsi="Times New Roman" w:cs="Times New Roman"/>
          <w:sz w:val="24"/>
        </w:rPr>
        <w:t>The Gospel of Matthew is written to convey that Jesus is unequivocally, the Son of God.   Senior notes that ‘Son of God’ is the most significant title Matthew gives to Jesus in his Gospel</w:t>
      </w:r>
      <w:r w:rsidR="00EE33F0" w:rsidRPr="00E16D7C">
        <w:rPr>
          <w:rFonts w:ascii="Times New Roman" w:hAnsi="Times New Roman" w:cs="Times New Roman"/>
          <w:sz w:val="24"/>
        </w:rPr>
        <w:fldChar w:fldCharType="begin"/>
      </w:r>
      <w:r w:rsidRPr="00E16D7C">
        <w:rPr>
          <w:rFonts w:ascii="Times New Roman" w:hAnsi="Times New Roman" w:cs="Times New Roman"/>
          <w:sz w:val="24"/>
        </w:rPr>
        <w:instrText xml:space="preserve"> ADDIN EN.CITE &lt;EndNote&gt;&lt;Cite&gt;&lt;Author&gt;Senior&lt;/Author&gt;&lt;Year&gt;1997&lt;/Year&gt;&lt;RecNum&gt;90&lt;/RecNum&gt;&lt;record&gt;&lt;rec-number&gt;90&lt;/rec-number&gt;&lt;foreign-keys&gt;&lt;key app="EN" db-id="r00erd5py09farew0xpx9sz49dtxfs0ad9da"&gt;90&lt;/key&gt;&lt;/foreign-keys&gt;&lt;ref-type name="Book"&gt;6&lt;/ref-type&gt;&lt;contributors&gt;&lt;authors&gt;&lt;author&gt;Donald Senior&lt;/author&gt;&lt;/authors&gt;&lt;/contributors&gt;&lt;titles&gt;&lt;title&gt;The Gospel of Matthew&lt;/title&gt;&lt;/titles&gt;&lt;dates&gt;&lt;year&gt;1997&lt;/year&gt;&lt;/dates&gt;&lt;pub-location&gt;Nashville&lt;/pub-location&gt;&lt;publisher&gt;Abingdon Press&lt;/publisher&gt;&lt;urls&gt;&lt;/urls&gt;&lt;/record&gt;&lt;/Cite&gt;&lt;/EndNote&gt;</w:instrText>
      </w:r>
      <w:r w:rsidR="00EE33F0" w:rsidRPr="00E16D7C">
        <w:rPr>
          <w:rFonts w:ascii="Times New Roman" w:hAnsi="Times New Roman" w:cs="Times New Roman"/>
          <w:sz w:val="24"/>
        </w:rPr>
        <w:fldChar w:fldCharType="end"/>
      </w:r>
      <w:r w:rsidRPr="00E16D7C">
        <w:rPr>
          <w:rStyle w:val="FootnoteReference"/>
          <w:rFonts w:ascii="Times New Roman" w:hAnsi="Times New Roman" w:cs="Times New Roman"/>
          <w:sz w:val="24"/>
        </w:rPr>
        <w:footnoteReference w:id="3"/>
      </w:r>
      <w:r w:rsidRPr="00E16D7C">
        <w:rPr>
          <w:rFonts w:ascii="Times New Roman" w:hAnsi="Times New Roman" w:cs="Times New Roman"/>
          <w:sz w:val="24"/>
        </w:rPr>
        <w:t xml:space="preserve">  and Bauer goes further to say that Jesus as Son of God is the overarching theme of Matthew’s writing.</w:t>
      </w:r>
      <w:r w:rsidRPr="00E16D7C">
        <w:rPr>
          <w:rStyle w:val="FootnoteReference"/>
          <w:rFonts w:ascii="Times New Roman" w:hAnsi="Times New Roman" w:cs="Times New Roman"/>
          <w:sz w:val="24"/>
        </w:rPr>
        <w:footnoteReference w:id="4"/>
      </w:r>
      <w:r w:rsidRPr="00E16D7C">
        <w:rPr>
          <w:rFonts w:ascii="Times New Roman" w:hAnsi="Times New Roman" w:cs="Times New Roman"/>
          <w:sz w:val="24"/>
        </w:rPr>
        <w:t xml:space="preserve">  Matthew has retained all of the references to ‘Son of God’ contained in the Gospel of Mark and added some of his own and some from the Q source.</w:t>
      </w:r>
      <w:r w:rsidRPr="00E16D7C">
        <w:rPr>
          <w:rStyle w:val="FootnoteReference"/>
          <w:rFonts w:ascii="Times New Roman" w:hAnsi="Times New Roman" w:cs="Times New Roman"/>
          <w:sz w:val="24"/>
        </w:rPr>
        <w:footnoteReference w:id="5"/>
      </w:r>
      <w:r w:rsidRPr="00E16D7C">
        <w:rPr>
          <w:rFonts w:ascii="Times New Roman" w:hAnsi="Times New Roman" w:cs="Times New Roman"/>
          <w:sz w:val="24"/>
        </w:rPr>
        <w:t xml:space="preserve">    Matthew uses this title to denote several characteristics of the relationship Jesus has with God.</w:t>
      </w:r>
      <w:r w:rsidRPr="00E16D7C">
        <w:rPr>
          <w:rStyle w:val="FootnoteReference"/>
          <w:rFonts w:ascii="Times New Roman" w:hAnsi="Times New Roman" w:cs="Times New Roman"/>
          <w:sz w:val="24"/>
        </w:rPr>
        <w:footnoteReference w:id="6"/>
      </w:r>
      <w:r w:rsidRPr="00E16D7C">
        <w:rPr>
          <w:rFonts w:ascii="Times New Roman" w:hAnsi="Times New Roman" w:cs="Times New Roman"/>
          <w:sz w:val="24"/>
        </w:rPr>
        <w:t xml:space="preserve">   Jesus’ origin is in and through God as he has been conceived through the Holy Spirit (Mt 1:20-21).   Jesus as Son of God has an intense and intimate relationship with his Father; “All things have been handed over to me by my Father; and no one knows the Son except the Father, and no one knows the Father except the Son and anyone who the Son chooses to reveal him.” (Mt 11:27)   And Jesus is the obedient Son of God, even to death.   The Temptation of Jesus demonstrates his commitment and obedience to God, even after forty days in the wilderness when each time, he is able to resist temptation turning instead, to the wisdom of the Old Testament (Mt 4:1-11).</w:t>
      </w:r>
      <w:r w:rsidR="00554EE2">
        <w:rPr>
          <w:rFonts w:ascii="Times New Roman" w:hAnsi="Times New Roman" w:cs="Times New Roman"/>
          <w:sz w:val="24"/>
        </w:rPr>
        <w:t xml:space="preserve"> </w:t>
      </w:r>
    </w:p>
    <w:p w:rsidR="00554EE2" w:rsidRPr="00554EE2" w:rsidRDefault="00554EE2" w:rsidP="00554EE2">
      <w:pPr>
        <w:autoSpaceDE w:val="0"/>
        <w:autoSpaceDN w:val="0"/>
        <w:adjustRightInd w:val="0"/>
        <w:spacing w:after="0"/>
        <w:jc w:val="both"/>
        <w:rPr>
          <w:rFonts w:ascii="Times New Roman" w:hAnsi="Times New Roman" w:cs="Times New Roman"/>
          <w:sz w:val="28"/>
        </w:rPr>
      </w:pPr>
      <w:r w:rsidRPr="00554EE2">
        <w:rPr>
          <w:rFonts w:ascii="Times New Roman" w:hAnsi="Times New Roman" w:cs="Times New Roman"/>
          <w:sz w:val="24"/>
        </w:rPr>
        <w:t xml:space="preserve">Another of Matthew’s key Christological themes is of Jesus as both the fulfilment of the hopes and aspirations of the Israelites and the fulfilment of the law and the prophets.   Matthew’s Gospel opens with the genealogy of Jesus which firmly places him within the context of the history of </w:t>
      </w:r>
      <w:smartTag w:uri="urn:schemas-microsoft-com:office:smarttags" w:element="place">
        <w:smartTag w:uri="urn:schemas-microsoft-com:office:smarttags" w:element="country-region">
          <w:r w:rsidRPr="00554EE2">
            <w:rPr>
              <w:rFonts w:ascii="Times New Roman" w:hAnsi="Times New Roman" w:cs="Times New Roman"/>
              <w:sz w:val="24"/>
            </w:rPr>
            <w:t>Israel</w:t>
          </w:r>
        </w:smartTag>
      </w:smartTag>
      <w:r w:rsidRPr="00554EE2">
        <w:rPr>
          <w:rFonts w:ascii="Times New Roman" w:hAnsi="Times New Roman" w:cs="Times New Roman"/>
          <w:sz w:val="24"/>
        </w:rPr>
        <w:t xml:space="preserve"> and cements his identity as Jewish.</w:t>
      </w:r>
      <w:r w:rsidRPr="00554EE2">
        <w:rPr>
          <w:rStyle w:val="FootnoteReference"/>
          <w:rFonts w:ascii="Times New Roman" w:hAnsi="Times New Roman" w:cs="Times New Roman"/>
          <w:sz w:val="24"/>
        </w:rPr>
        <w:footnoteReference w:id="7"/>
      </w:r>
      <w:r w:rsidRPr="00554EE2">
        <w:rPr>
          <w:rFonts w:ascii="Times New Roman" w:hAnsi="Times New Roman" w:cs="Times New Roman"/>
          <w:sz w:val="24"/>
        </w:rPr>
        <w:t xml:space="preserve">   </w:t>
      </w:r>
    </w:p>
    <w:p w:rsidR="00E16D7C" w:rsidRDefault="00E16D7C" w:rsidP="00E16D7C">
      <w:pPr>
        <w:autoSpaceDE w:val="0"/>
        <w:autoSpaceDN w:val="0"/>
        <w:adjustRightInd w:val="0"/>
        <w:spacing w:after="0"/>
        <w:jc w:val="both"/>
        <w:rPr>
          <w:rFonts w:ascii="Times New Roman" w:hAnsi="Times New Roman" w:cs="Times New Roman"/>
          <w:b/>
          <w:sz w:val="24"/>
        </w:rPr>
      </w:pPr>
      <w:r w:rsidRPr="00E16D7C">
        <w:rPr>
          <w:rFonts w:ascii="Times New Roman" w:hAnsi="Times New Roman" w:cs="Times New Roman"/>
          <w:b/>
          <w:sz w:val="24"/>
        </w:rPr>
        <w:t>Conclusion</w:t>
      </w:r>
    </w:p>
    <w:p w:rsidR="00554EE2" w:rsidRPr="00554EE2" w:rsidRDefault="00554EE2" w:rsidP="00E16D7C">
      <w:pPr>
        <w:autoSpaceDE w:val="0"/>
        <w:autoSpaceDN w:val="0"/>
        <w:adjustRightInd w:val="0"/>
        <w:spacing w:after="0"/>
        <w:jc w:val="both"/>
        <w:rPr>
          <w:rFonts w:ascii="Times New Roman" w:hAnsi="Times New Roman" w:cs="Times New Roman"/>
          <w:sz w:val="24"/>
          <w:szCs w:val="24"/>
        </w:rPr>
      </w:pPr>
      <w:r w:rsidRPr="00554EE2">
        <w:rPr>
          <w:rFonts w:ascii="Times New Roman" w:hAnsi="Times New Roman" w:cs="Times New Roman"/>
          <w:sz w:val="24"/>
          <w:szCs w:val="24"/>
        </w:rPr>
        <w:t>Conclusively</w:t>
      </w:r>
      <w:r w:rsidR="009B41D3">
        <w:rPr>
          <w:rFonts w:ascii="Times New Roman" w:hAnsi="Times New Roman" w:cs="Times New Roman"/>
          <w:sz w:val="24"/>
          <w:szCs w:val="24"/>
        </w:rPr>
        <w:t xml:space="preserve"> </w:t>
      </w:r>
      <w:r w:rsidR="008C34EB">
        <w:rPr>
          <w:rFonts w:ascii="Times New Roman" w:hAnsi="Times New Roman" w:cs="Times New Roman"/>
          <w:sz w:val="24"/>
          <w:szCs w:val="24"/>
        </w:rPr>
        <w:t>s</w:t>
      </w:r>
      <w:r w:rsidRPr="00554EE2">
        <w:rPr>
          <w:rFonts w:ascii="Times New Roman" w:hAnsi="Times New Roman" w:cs="Times New Roman"/>
          <w:sz w:val="24"/>
          <w:szCs w:val="24"/>
        </w:rPr>
        <w:t>ome scholars have taken this notion further and see that Matthew is por</w:t>
      </w:r>
      <w:r w:rsidR="00965E40">
        <w:rPr>
          <w:rFonts w:ascii="Times New Roman" w:hAnsi="Times New Roman" w:cs="Times New Roman"/>
          <w:sz w:val="24"/>
          <w:szCs w:val="24"/>
        </w:rPr>
        <w:t>traying Jesus as the new Moses.</w:t>
      </w:r>
      <w:r w:rsidRPr="00554EE2">
        <w:rPr>
          <w:rFonts w:ascii="Times New Roman" w:hAnsi="Times New Roman" w:cs="Times New Roman"/>
          <w:sz w:val="24"/>
          <w:szCs w:val="24"/>
        </w:rPr>
        <w:t xml:space="preserve">  According to Senior, the “defining moment” of the teaching of Jesus in the Sermon on the Mount narrative reminds the reader of Moses going up to Mount Sinai to receive the Torah.</w:t>
      </w:r>
      <w:r w:rsidRPr="00554EE2">
        <w:rPr>
          <w:rStyle w:val="FootnoteReference"/>
          <w:rFonts w:ascii="Times New Roman" w:hAnsi="Times New Roman" w:cs="Times New Roman"/>
          <w:sz w:val="24"/>
          <w:szCs w:val="24"/>
        </w:rPr>
        <w:footnoteReference w:id="8"/>
      </w:r>
      <w:r w:rsidRPr="00554EE2">
        <w:rPr>
          <w:rFonts w:ascii="Times New Roman" w:hAnsi="Times New Roman" w:cs="Times New Roman"/>
          <w:sz w:val="24"/>
          <w:szCs w:val="24"/>
        </w:rPr>
        <w:t xml:space="preserve"> The transfiguration of Jesus is another story which harkens back to the character of Moses, Matthew including reference to him in the narrative (Mt 17:1-13).   </w:t>
      </w:r>
    </w:p>
    <w:sectPr w:rsidR="00554EE2" w:rsidRPr="00554EE2" w:rsidSect="00C738B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17C" w:rsidRDefault="003D117C" w:rsidP="002A0E75">
      <w:pPr>
        <w:spacing w:after="0" w:line="240" w:lineRule="auto"/>
      </w:pPr>
      <w:r>
        <w:separator/>
      </w:r>
    </w:p>
  </w:endnote>
  <w:endnote w:type="continuationSeparator" w:id="1">
    <w:p w:rsidR="003D117C" w:rsidRDefault="003D117C" w:rsidP="002A0E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614251"/>
      <w:docPartObj>
        <w:docPartGallery w:val="Page Numbers (Bottom of Page)"/>
        <w:docPartUnique/>
      </w:docPartObj>
    </w:sdtPr>
    <w:sdtContent>
      <w:p w:rsidR="002A0E75" w:rsidRDefault="00EE33F0">
        <w:pPr>
          <w:pStyle w:val="Footer"/>
          <w:jc w:val="center"/>
        </w:pPr>
        <w:fldSimple w:instr=" PAGE   \* MERGEFORMAT ">
          <w:r w:rsidR="000E63E5">
            <w:rPr>
              <w:noProof/>
            </w:rPr>
            <w:t>2</w:t>
          </w:r>
        </w:fldSimple>
      </w:p>
    </w:sdtContent>
  </w:sdt>
  <w:p w:rsidR="002A0E75" w:rsidRDefault="002A0E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17C" w:rsidRDefault="003D117C" w:rsidP="002A0E75">
      <w:pPr>
        <w:spacing w:after="0" w:line="240" w:lineRule="auto"/>
      </w:pPr>
      <w:r>
        <w:separator/>
      </w:r>
    </w:p>
  </w:footnote>
  <w:footnote w:type="continuationSeparator" w:id="1">
    <w:p w:rsidR="003D117C" w:rsidRDefault="003D117C" w:rsidP="002A0E75">
      <w:pPr>
        <w:spacing w:after="0" w:line="240" w:lineRule="auto"/>
      </w:pPr>
      <w:r>
        <w:continuationSeparator/>
      </w:r>
    </w:p>
  </w:footnote>
  <w:footnote w:id="2">
    <w:p w:rsidR="0006711C" w:rsidRPr="006B4C7F" w:rsidRDefault="0006711C" w:rsidP="006B4C7F">
      <w:pPr>
        <w:autoSpaceDE w:val="0"/>
        <w:autoSpaceDN w:val="0"/>
        <w:adjustRightInd w:val="0"/>
        <w:spacing w:after="0" w:line="240" w:lineRule="auto"/>
        <w:jc w:val="both"/>
        <w:rPr>
          <w:rFonts w:ascii="Times New Roman" w:hAnsi="Times New Roman" w:cs="Times New Roman"/>
          <w:i/>
          <w:iCs/>
          <w:sz w:val="20"/>
          <w:szCs w:val="20"/>
        </w:rPr>
      </w:pPr>
      <w:r>
        <w:rPr>
          <w:rStyle w:val="FootnoteReference"/>
        </w:rPr>
        <w:footnoteRef/>
      </w:r>
      <w:r>
        <w:t xml:space="preserve"> </w:t>
      </w:r>
      <w:r w:rsidR="006B4C7F" w:rsidRPr="006B4C7F">
        <w:rPr>
          <w:rFonts w:ascii="Times New Roman" w:hAnsi="Times New Roman" w:cs="Times New Roman"/>
          <w:sz w:val="20"/>
          <w:szCs w:val="20"/>
        </w:rPr>
        <w:t xml:space="preserve">Raymond E. Brown, </w:t>
      </w:r>
      <w:r w:rsidR="006B4C7F" w:rsidRPr="006B4C7F">
        <w:rPr>
          <w:rFonts w:ascii="Times New Roman" w:hAnsi="Times New Roman" w:cs="Times New Roman"/>
          <w:i/>
          <w:iCs/>
          <w:sz w:val="20"/>
          <w:szCs w:val="20"/>
        </w:rPr>
        <w:t>The Birth of the Messiah: A Commentary on the Infancy Narratives</w:t>
      </w:r>
      <w:r w:rsidR="006B4C7F">
        <w:rPr>
          <w:rFonts w:ascii="Times New Roman" w:hAnsi="Times New Roman" w:cs="Times New Roman"/>
          <w:i/>
          <w:iCs/>
          <w:sz w:val="20"/>
          <w:szCs w:val="20"/>
        </w:rPr>
        <w:t xml:space="preserve"> </w:t>
      </w:r>
      <w:r w:rsidR="006B4C7F" w:rsidRPr="006B4C7F">
        <w:rPr>
          <w:rFonts w:ascii="Times New Roman" w:hAnsi="Times New Roman" w:cs="Times New Roman"/>
          <w:i/>
          <w:iCs/>
          <w:sz w:val="20"/>
          <w:szCs w:val="20"/>
        </w:rPr>
        <w:t>in the Gospels of Matthew and Luke</w:t>
      </w:r>
      <w:r w:rsidR="006B4C7F" w:rsidRPr="006B4C7F">
        <w:rPr>
          <w:rFonts w:ascii="Times New Roman" w:hAnsi="Times New Roman" w:cs="Times New Roman"/>
          <w:sz w:val="20"/>
          <w:szCs w:val="20"/>
        </w:rPr>
        <w:t>, 2d ed. (New York: Doubleday, 1993), 35–36.</w:t>
      </w:r>
    </w:p>
  </w:footnote>
  <w:footnote w:id="3">
    <w:p w:rsidR="00E16D7C" w:rsidRPr="00554EE2" w:rsidRDefault="00E16D7C" w:rsidP="00554EE2">
      <w:pPr>
        <w:pStyle w:val="FootnoteText"/>
        <w:jc w:val="both"/>
        <w:rPr>
          <w:rFonts w:ascii="Times New Roman" w:hAnsi="Times New Roman" w:cs="Times New Roman"/>
        </w:rPr>
      </w:pPr>
      <w:r>
        <w:rPr>
          <w:rStyle w:val="FootnoteReference"/>
        </w:rPr>
        <w:footnoteRef/>
      </w:r>
      <w:r>
        <w:t xml:space="preserve"> </w:t>
      </w:r>
      <w:r w:rsidR="00EE33F0" w:rsidRPr="00554EE2">
        <w:rPr>
          <w:rFonts w:ascii="Times New Roman" w:hAnsi="Times New Roman" w:cs="Times New Roman"/>
        </w:rPr>
        <w:fldChar w:fldCharType="begin"/>
      </w:r>
      <w:r w:rsidRPr="00554EE2">
        <w:rPr>
          <w:rFonts w:ascii="Times New Roman" w:hAnsi="Times New Roman" w:cs="Times New Roman"/>
        </w:rPr>
        <w:instrText xml:space="preserve"> ADDIN EN.CITE &lt;EndNote&gt;&lt;Cite&gt;&lt;Author&gt;Senior&lt;/Author&gt;&lt;Year&gt;1997&lt;/Year&gt;&lt;RecNum&gt;90&lt;/RecNum&gt;&lt;Pages&gt;54&lt;/Pages&gt;&lt;DisplayText&gt;Donald Senior, &lt;style face="italic"&gt;The Gospel of Matthew&lt;/style&gt;  (Nashville: Abingdon Press, 1997), 54.&lt;/DisplayText&gt;&lt;record&gt;&lt;rec-number&gt;90&lt;/rec-number&gt;&lt;foreign-keys&gt;&lt;key app="EN" db-id="r00erd5py09farew0xpx9sz49dtxfs0ad9da"&gt;90&lt;/key&gt;&lt;/foreign-keys&gt;&lt;ref-type name="Book"&gt;6&lt;/ref-type&gt;&lt;contributors&gt;&lt;authors&gt;&lt;author&gt;Donald Senior&lt;/author&gt;&lt;/authors&gt;&lt;/contributors&gt;&lt;titles&gt;&lt;title&gt;The Gospel of Matthew&lt;/title&gt;&lt;/titles&gt;&lt;dates&gt;&lt;year&gt;1997&lt;/year&gt;&lt;/dates&gt;&lt;pub-location&gt;Nashville&lt;/pub-location&gt;&lt;publisher&gt;Abingdon Press&lt;/publisher&gt;&lt;urls&gt;&lt;/urls&gt;&lt;/record&gt;&lt;/Cite&gt;&lt;/EndNote&gt;</w:instrText>
      </w:r>
      <w:r w:rsidR="00EE33F0" w:rsidRPr="00554EE2">
        <w:rPr>
          <w:rFonts w:ascii="Times New Roman" w:hAnsi="Times New Roman" w:cs="Times New Roman"/>
        </w:rPr>
        <w:fldChar w:fldCharType="separate"/>
      </w:r>
      <w:r w:rsidRPr="00554EE2">
        <w:rPr>
          <w:rFonts w:ascii="Times New Roman" w:hAnsi="Times New Roman" w:cs="Times New Roman"/>
          <w:noProof/>
        </w:rPr>
        <w:t xml:space="preserve">Donald Senior, </w:t>
      </w:r>
      <w:r w:rsidRPr="00554EE2">
        <w:rPr>
          <w:rFonts w:ascii="Times New Roman" w:hAnsi="Times New Roman" w:cs="Times New Roman"/>
          <w:i/>
          <w:noProof/>
        </w:rPr>
        <w:t>The Gospel of Matthew</w:t>
      </w:r>
      <w:r w:rsidRPr="00554EE2">
        <w:rPr>
          <w:rFonts w:ascii="Times New Roman" w:hAnsi="Times New Roman" w:cs="Times New Roman"/>
          <w:noProof/>
        </w:rPr>
        <w:t xml:space="preserve">  (Nashville: Abingdon Press, 1997), 54.</w:t>
      </w:r>
      <w:r w:rsidR="00EE33F0" w:rsidRPr="00554EE2">
        <w:rPr>
          <w:rFonts w:ascii="Times New Roman" w:hAnsi="Times New Roman" w:cs="Times New Roman"/>
        </w:rPr>
        <w:fldChar w:fldCharType="end"/>
      </w:r>
    </w:p>
  </w:footnote>
  <w:footnote w:id="4">
    <w:p w:rsidR="00E16D7C" w:rsidRPr="00554EE2" w:rsidRDefault="00E16D7C" w:rsidP="00554EE2">
      <w:pPr>
        <w:pStyle w:val="FootnoteText"/>
        <w:jc w:val="both"/>
        <w:rPr>
          <w:rFonts w:ascii="Times New Roman" w:hAnsi="Times New Roman" w:cs="Times New Roman"/>
        </w:rPr>
      </w:pPr>
      <w:r w:rsidRPr="00554EE2">
        <w:rPr>
          <w:rStyle w:val="FootnoteReference"/>
          <w:rFonts w:ascii="Times New Roman" w:hAnsi="Times New Roman" w:cs="Times New Roman"/>
        </w:rPr>
        <w:footnoteRef/>
      </w:r>
      <w:r w:rsidRPr="00554EE2">
        <w:rPr>
          <w:rFonts w:ascii="Times New Roman" w:hAnsi="Times New Roman" w:cs="Times New Roman"/>
        </w:rPr>
        <w:t xml:space="preserve"> </w:t>
      </w:r>
      <w:r w:rsidR="00EE33F0" w:rsidRPr="00554EE2">
        <w:rPr>
          <w:rFonts w:ascii="Times New Roman" w:hAnsi="Times New Roman" w:cs="Times New Roman"/>
        </w:rPr>
        <w:fldChar w:fldCharType="begin"/>
      </w:r>
      <w:r w:rsidRPr="00554EE2">
        <w:rPr>
          <w:rFonts w:ascii="Times New Roman" w:hAnsi="Times New Roman" w:cs="Times New Roman"/>
        </w:rPr>
        <w:instrText xml:space="preserve"> ADDIN EN.CITE &lt;EndNote&gt;&lt;Cite&gt;&lt;Author&gt;Bauer&lt;/Author&gt;&lt;Year&gt;1989&lt;/Year&gt;&lt;RecNum&gt;130&lt;/RecNum&gt;&lt;Pages&gt;143&lt;/Pages&gt;&lt;DisplayText&gt;D.R. Bauer, &amp;quot;The structure of Matthew&amp;apos;s gospel: A study in literary design.&amp;quot; (Wiltshire: Sheffield Academic Press, 1989), http://books.google.com.au/books?hl=en&amp;amp;lr=&amp;amp;id=dPdLRsT6n3oC&amp;amp;oi=fnd&amp;amp;pg=PA7&amp;amp;dq=christology+of+matthew%27s+gospel&amp;amp;ots=VH5SX_2qGy&amp;amp;sig=RyPYoio30NInIKLG5CASuF6WG2I#v=onepage&amp;amp;q=christology%20of%20matthew&amp;apos;s%20gospel&amp;amp;f=false.&lt;/DisplayText&gt;&lt;record&gt;&lt;rec-number&gt;130&lt;/rec-number&gt;&lt;foreign-keys&gt;&lt;key app="EN" db-id="r00erd5py09farew0xpx9sz49dtxfs0ad9da"&gt;130&lt;/key&gt;&lt;/foreign-keys&gt;&lt;ref-type name="Electronic Book"&gt;44&lt;/ref-type&gt;&lt;contributors&gt;&lt;authors&gt;&lt;author&gt;Bauer, D.R.&lt;/author&gt;&lt;/authors&gt;&lt;/contributors&gt;&lt;titles&gt;&lt;title&gt;The structure of Matthew&amp;apos;s gospel: A study in literary design&lt;/title&gt;&lt;/titles&gt;&lt;dates&gt;&lt;year&gt;1989&lt;/year&gt;&lt;pub-dates&gt;&lt;date&gt;April 25 2011&lt;/date&gt;&lt;/pub-dates&gt;&lt;/dates&gt;&lt;pub-location&gt;Wiltshire&lt;/pub-location&gt;&lt;publisher&gt;Sheffield Academic Press&lt;/publisher&gt;&lt;isbn&gt;1850751048&lt;/isbn&gt;&lt;urls&gt;&lt;related-urls&gt;&lt;url&gt;http://books.google.com.au/books?hl=en&amp;amp;lr=&amp;amp;id=dPdLRsT6n3oC&amp;amp;oi=fnd&amp;amp;pg=PA7&amp;amp;dq=christology+of+matthew%27s+gospel&amp;amp;ots=VH5SX_2qGy&amp;amp;sig=RyPYoio30NInIKLG5CASuF6WG2I#v=onepage&amp;amp;q=christology%20of%20matthew&amp;apos;s%20gospel&amp;amp;f=false&lt;/url&gt;&lt;/related-urls&gt;&lt;/urls&gt;&lt;/record&gt;&lt;/Cite&gt;&lt;/EndNote&gt;</w:instrText>
      </w:r>
      <w:r w:rsidR="00EE33F0" w:rsidRPr="00554EE2">
        <w:rPr>
          <w:rFonts w:ascii="Times New Roman" w:hAnsi="Times New Roman" w:cs="Times New Roman"/>
        </w:rPr>
        <w:fldChar w:fldCharType="separate"/>
      </w:r>
      <w:r w:rsidRPr="00554EE2">
        <w:rPr>
          <w:rFonts w:ascii="Times New Roman" w:hAnsi="Times New Roman" w:cs="Times New Roman"/>
          <w:noProof/>
        </w:rPr>
        <w:t xml:space="preserve">D.R. Bauer, "The structure of Matthew's gospel: A study in literary design." (Wiltshire: Sheffield Academic Press, 1989), </w:t>
      </w:r>
      <w:r w:rsidR="00EE33F0" w:rsidRPr="00554EE2">
        <w:rPr>
          <w:rFonts w:ascii="Times New Roman" w:hAnsi="Times New Roman" w:cs="Times New Roman"/>
        </w:rPr>
        <w:fldChar w:fldCharType="end"/>
      </w:r>
      <w:r w:rsidRPr="00554EE2">
        <w:rPr>
          <w:rFonts w:ascii="Times New Roman" w:hAnsi="Times New Roman" w:cs="Times New Roman"/>
        </w:rPr>
        <w:t>143.</w:t>
      </w:r>
    </w:p>
  </w:footnote>
  <w:footnote w:id="5">
    <w:p w:rsidR="00E16D7C" w:rsidRPr="00554EE2" w:rsidRDefault="00E16D7C" w:rsidP="00554EE2">
      <w:pPr>
        <w:pStyle w:val="FootnoteText"/>
        <w:jc w:val="both"/>
        <w:rPr>
          <w:rFonts w:ascii="Times New Roman" w:hAnsi="Times New Roman" w:cs="Times New Roman"/>
        </w:rPr>
      </w:pPr>
      <w:r w:rsidRPr="00554EE2">
        <w:rPr>
          <w:rStyle w:val="FootnoteReference"/>
          <w:rFonts w:ascii="Times New Roman" w:hAnsi="Times New Roman" w:cs="Times New Roman"/>
        </w:rPr>
        <w:footnoteRef/>
      </w:r>
      <w:r w:rsidRPr="00554EE2">
        <w:rPr>
          <w:rFonts w:ascii="Times New Roman" w:hAnsi="Times New Roman" w:cs="Times New Roman"/>
        </w:rPr>
        <w:t xml:space="preserve"> </w:t>
      </w:r>
      <w:r w:rsidR="00EE33F0" w:rsidRPr="00554EE2">
        <w:rPr>
          <w:rFonts w:ascii="Times New Roman" w:hAnsi="Times New Roman" w:cs="Times New Roman"/>
        </w:rPr>
        <w:fldChar w:fldCharType="begin"/>
      </w:r>
      <w:r w:rsidRPr="00554EE2">
        <w:rPr>
          <w:rFonts w:ascii="Times New Roman" w:hAnsi="Times New Roman" w:cs="Times New Roman"/>
        </w:rPr>
        <w:instrText xml:space="preserve"> ADDIN EN.CITE &lt;EndNote&gt;&lt;Cite&gt;&lt;Author&gt;Carson&lt;/Author&gt;&lt;Year&gt;1982&lt;/Year&gt;&lt;RecNum&gt;125&lt;/RecNum&gt;&lt;Pages&gt;111&lt;/Pages&gt;&lt;DisplayText&gt;D.A. Carson, &amp;quot;Christological Ambiguities in the Gospel of Matthew,&amp;quot; in &lt;style face="italic"&gt;Christ the Lord. Studies in Christology Presented to Donald Guthrie&lt;/style&gt;, ed. Harold H. Rowdon (Leicester: Inter-Varsity Press, 1982), 111.&lt;/DisplayText&gt;&lt;record&gt;&lt;rec-number&gt;125&lt;/rec-number&gt;&lt;foreign-keys&gt;&lt;key app="EN" db-id="r00erd5py09farew0xpx9sz49dtxfs0ad9da"&gt;125&lt;/key&gt;&lt;/foreign-keys&gt;&lt;ref-type name="Electronic Book Section"&gt;60&lt;/ref-type&gt;&lt;contributors&gt;&lt;authors&gt;&lt;author&gt;Carson, D.A.&lt;/author&gt;&lt;/authors&gt;&lt;secondary-authors&gt;&lt;author&gt;Harold H. Rowdon&lt;/author&gt;&lt;/secondary-authors&gt;&lt;/contributors&gt;&lt;titles&gt;&lt;title&gt;Christological Ambiguities in the Gospel of Matthew&lt;/title&gt;&lt;secondary-title&gt;Christ the Lord. Studies in Christology Presented to Donald Guthrie&lt;/secondary-title&gt;&lt;/titles&gt;&lt;dates&gt;&lt;year&gt;1982&lt;/year&gt;&lt;/dates&gt;&lt;pub-location&gt;Leicester&lt;/pub-location&gt;&lt;publisher&gt;Inter-Varsity Press&lt;/publisher&gt;&lt;urls&gt;&lt;related-urls&gt;&lt;url&gt;http//www.biblicalstudies.org.uk/pdf/matthew_carson.pdf&lt;/url&gt;&lt;/related-urls&gt;&lt;/urls&gt;&lt;access-date&gt;March 25 2011&lt;/access-date&gt;&lt;/record&gt;&lt;/Cite&gt;&lt;/EndNote&gt;</w:instrText>
      </w:r>
      <w:r w:rsidR="00EE33F0" w:rsidRPr="00554EE2">
        <w:rPr>
          <w:rFonts w:ascii="Times New Roman" w:hAnsi="Times New Roman" w:cs="Times New Roman"/>
        </w:rPr>
        <w:fldChar w:fldCharType="separate"/>
      </w:r>
      <w:r w:rsidRPr="00554EE2">
        <w:rPr>
          <w:rFonts w:ascii="Times New Roman" w:hAnsi="Times New Roman" w:cs="Times New Roman"/>
          <w:noProof/>
        </w:rPr>
        <w:t xml:space="preserve">D.A. Carson, "Christological Ambiguities in the Gospel of Matthew," in </w:t>
      </w:r>
      <w:r w:rsidRPr="00554EE2">
        <w:rPr>
          <w:rFonts w:ascii="Times New Roman" w:hAnsi="Times New Roman" w:cs="Times New Roman"/>
          <w:i/>
          <w:noProof/>
        </w:rPr>
        <w:t>Christ the Lord. Studies in Christology Presented to Donald Guthrie</w:t>
      </w:r>
      <w:r w:rsidRPr="00554EE2">
        <w:rPr>
          <w:rFonts w:ascii="Times New Roman" w:hAnsi="Times New Roman" w:cs="Times New Roman"/>
          <w:noProof/>
        </w:rPr>
        <w:t>, ed. Harold H. Rowdon (Leicester: Inter-Varsity Press, 1982), 111.</w:t>
      </w:r>
      <w:r w:rsidR="00EE33F0" w:rsidRPr="00554EE2">
        <w:rPr>
          <w:rFonts w:ascii="Times New Roman" w:hAnsi="Times New Roman" w:cs="Times New Roman"/>
        </w:rPr>
        <w:fldChar w:fldCharType="end"/>
      </w:r>
    </w:p>
  </w:footnote>
  <w:footnote w:id="6">
    <w:p w:rsidR="00E16D7C" w:rsidRPr="00554EE2" w:rsidRDefault="00E16D7C" w:rsidP="00554EE2">
      <w:pPr>
        <w:pStyle w:val="FootnoteText"/>
        <w:jc w:val="both"/>
        <w:rPr>
          <w:rFonts w:ascii="Times New Roman" w:hAnsi="Times New Roman" w:cs="Times New Roman"/>
        </w:rPr>
      </w:pPr>
      <w:r w:rsidRPr="00554EE2">
        <w:rPr>
          <w:rStyle w:val="FootnoteReference"/>
          <w:rFonts w:ascii="Times New Roman" w:hAnsi="Times New Roman" w:cs="Times New Roman"/>
        </w:rPr>
        <w:footnoteRef/>
      </w:r>
      <w:r w:rsidRPr="00554EE2">
        <w:rPr>
          <w:rFonts w:ascii="Times New Roman" w:hAnsi="Times New Roman" w:cs="Times New Roman"/>
        </w:rPr>
        <w:t xml:space="preserve"> </w:t>
      </w:r>
      <w:r w:rsidR="00EE33F0" w:rsidRPr="00554EE2">
        <w:rPr>
          <w:rFonts w:ascii="Times New Roman" w:hAnsi="Times New Roman" w:cs="Times New Roman"/>
        </w:rPr>
        <w:fldChar w:fldCharType="begin"/>
      </w:r>
      <w:r w:rsidRPr="00554EE2">
        <w:rPr>
          <w:rFonts w:ascii="Times New Roman" w:hAnsi="Times New Roman" w:cs="Times New Roman"/>
        </w:rPr>
        <w:instrText xml:space="preserve"> ADDIN EN.CITE &lt;EndNote&gt;&lt;Cite&gt;&lt;Author&gt;Bauer&lt;/Author&gt;&lt;Year&gt;1989&lt;/Year&gt;&lt;RecNum&gt;130&lt;/RecNum&gt;&lt;Pages&gt;145&lt;/Pages&gt;&lt;DisplayText&gt;Bauer, &amp;quot;The structure of Matthew&amp;apos;s gospel: A study in literary design,&amp;quot; 145.&lt;/DisplayText&gt;&lt;record&gt;&lt;rec-number&gt;130&lt;/rec-number&gt;&lt;foreign-keys&gt;&lt;key app="EN" db-id="r00erd5py09farew0xpx9sz49dtxfs0ad9da"&gt;130&lt;/key&gt;&lt;/foreign-keys&gt;&lt;ref-type name="Electronic Book"&gt;44&lt;/ref-type&gt;&lt;contributors&gt;&lt;authors&gt;&lt;author&gt;Bauer, D.R.&lt;/author&gt;&lt;/authors&gt;&lt;/contributors&gt;&lt;titles&gt;&lt;title&gt;The structure of Matthew&amp;apos;s gospel: A study in literary design&lt;/title&gt;&lt;/titles&gt;&lt;dates&gt;&lt;year&gt;1989&lt;/year&gt;&lt;pub-dates&gt;&lt;date&gt;April 25 2011&lt;/date&gt;&lt;/pub-dates&gt;&lt;/dates&gt;&lt;pub-location&gt;Wiltshire&lt;/pub-location&gt;&lt;publisher&gt;Sheffield Academic Press&lt;/publisher&gt;&lt;isbn&gt;1850751048&lt;/isbn&gt;&lt;urls&gt;&lt;related-urls&gt;&lt;url&gt;http://books.google.com.au/books?hl=en&amp;amp;lr=&amp;amp;id=dPdLRsT6n3oC&amp;amp;oi=fnd&amp;amp;pg=PA7&amp;amp;dq=christology+of+matthew%27s+gospel&amp;amp;ots=VH5SX_2qGy&amp;amp;sig=RyPYoio30NInIKLG5CASuF6WG2I#v=onepage&amp;amp;q=christology%20of%20matthew&amp;apos;s%20gospel&amp;amp;f=false&lt;/url&gt;&lt;/related-urls&gt;&lt;/urls&gt;&lt;/record&gt;&lt;/Cite&gt;&lt;/EndNote&gt;</w:instrText>
      </w:r>
      <w:r w:rsidR="00EE33F0" w:rsidRPr="00554EE2">
        <w:rPr>
          <w:rFonts w:ascii="Times New Roman" w:hAnsi="Times New Roman" w:cs="Times New Roman"/>
        </w:rPr>
        <w:fldChar w:fldCharType="separate"/>
      </w:r>
      <w:r w:rsidRPr="00554EE2">
        <w:rPr>
          <w:rFonts w:ascii="Times New Roman" w:hAnsi="Times New Roman" w:cs="Times New Roman"/>
          <w:noProof/>
        </w:rPr>
        <w:t>Bauer, "The structure of Matthew's gospel: A study in literary design," 145.</w:t>
      </w:r>
      <w:r w:rsidR="00EE33F0" w:rsidRPr="00554EE2">
        <w:rPr>
          <w:rFonts w:ascii="Times New Roman" w:hAnsi="Times New Roman" w:cs="Times New Roman"/>
        </w:rPr>
        <w:fldChar w:fldCharType="end"/>
      </w:r>
    </w:p>
  </w:footnote>
  <w:footnote w:id="7">
    <w:p w:rsidR="00554EE2" w:rsidRDefault="00554EE2" w:rsidP="00554EE2">
      <w:pPr>
        <w:pStyle w:val="FootnoteText"/>
        <w:jc w:val="both"/>
      </w:pPr>
      <w:r w:rsidRPr="00554EE2">
        <w:rPr>
          <w:rStyle w:val="FootnoteReference"/>
          <w:rFonts w:ascii="Times New Roman" w:hAnsi="Times New Roman" w:cs="Times New Roman"/>
        </w:rPr>
        <w:footnoteRef/>
      </w:r>
      <w:r w:rsidRPr="00554EE2">
        <w:rPr>
          <w:rFonts w:ascii="Times New Roman" w:hAnsi="Times New Roman" w:cs="Times New Roman"/>
        </w:rPr>
        <w:t xml:space="preserve"> Ibid.,</w:t>
      </w:r>
      <w:r w:rsidR="00EE33F0" w:rsidRPr="00554EE2">
        <w:rPr>
          <w:rFonts w:ascii="Times New Roman" w:hAnsi="Times New Roman" w:cs="Times New Roman"/>
        </w:rPr>
        <w:fldChar w:fldCharType="begin"/>
      </w:r>
      <w:r w:rsidRPr="00554EE2">
        <w:rPr>
          <w:rFonts w:ascii="Times New Roman" w:hAnsi="Times New Roman" w:cs="Times New Roman"/>
        </w:rPr>
        <w:instrText xml:space="preserve"> ADDIN EN.CITE &lt;EndNote&gt;&lt;Cite&gt;&lt;Author&gt;Viviano&lt;/Author&gt;&lt;Year&gt;1990&lt;/Year&gt;&lt;RecNum&gt;170&lt;/RecNum&gt;&lt;Pages&gt;94&lt;/Pages&gt;&lt;DisplayText&gt;Benedict. T. O.P. Viviano, &amp;quot;The Gospel According to Matthew,&amp;quot; in &lt;style face="italic"&gt;The New Jerome Biblical Commentary&lt;/style&gt;, ed. Raymond.E Brown, SS., Joseph. A Fitzmyer, SJ., and Roland. E Murphy, O.Carm. (New Jersey: Prentice Hall Inc., 1990), 94.&lt;/DisplayText&gt;&lt;record&gt;&lt;rec-number&gt;170&lt;/rec-number&gt;&lt;foreign-keys&gt;&lt;key app="EN" db-id="r00erd5py09farew0xpx9sz49dtxfs0ad9da"&gt;170&lt;/key&gt;&lt;/foreign-keys&gt;&lt;ref-type name="Book Section"&gt;5&lt;/ref-type&gt;&lt;contributors&gt;&lt;authors&gt;&lt;author&gt;Viviano, Benedict. T. O.P.&lt;/author&gt;&lt;/authors&gt;&lt;secondary-authors&gt;&lt;author&gt;Brown, Raymond.E,SS.&lt;/author&gt;&lt;author&gt;Fitzmyer, Joseph. A, SJ.&lt;/author&gt;&lt;author&gt;Murphy, Roland. E, O.Carm.&lt;/author&gt;&lt;/secondary-authors&gt;&lt;/contributors&gt;&lt;titles&gt;&lt;title&gt;The Gospel According to Matthew&lt;/title&gt;&lt;secondary-title&gt;The New Jerome Biblical Commentary&lt;/secondary-title&gt;&lt;/titles&gt;&lt;dates&gt;&lt;year&gt;1990&lt;/year&gt;&lt;/dates&gt;&lt;pub-location&gt;New Jersey&lt;/pub-location&gt;&lt;publisher&gt;Prentice Hall Inc.&lt;/publisher&gt;&lt;urls&gt;&lt;/urls&gt;&lt;/record&gt;&lt;/Cite&gt;&lt;/EndNote&gt;</w:instrText>
      </w:r>
      <w:r w:rsidR="00EE33F0" w:rsidRPr="00554EE2">
        <w:rPr>
          <w:rFonts w:ascii="Times New Roman" w:hAnsi="Times New Roman" w:cs="Times New Roman"/>
        </w:rPr>
        <w:fldChar w:fldCharType="separate"/>
      </w:r>
      <w:r w:rsidRPr="00554EE2">
        <w:rPr>
          <w:rFonts w:ascii="Times New Roman" w:hAnsi="Times New Roman" w:cs="Times New Roman"/>
          <w:noProof/>
        </w:rPr>
        <w:t xml:space="preserve"> 94.</w:t>
      </w:r>
      <w:r w:rsidR="00EE33F0" w:rsidRPr="00554EE2">
        <w:rPr>
          <w:rFonts w:ascii="Times New Roman" w:hAnsi="Times New Roman" w:cs="Times New Roman"/>
        </w:rPr>
        <w:fldChar w:fldCharType="end"/>
      </w:r>
    </w:p>
  </w:footnote>
  <w:footnote w:id="8">
    <w:p w:rsidR="00554EE2" w:rsidRPr="00554EE2" w:rsidRDefault="00554EE2" w:rsidP="00554EE2">
      <w:pPr>
        <w:pStyle w:val="FootnoteText"/>
        <w:jc w:val="both"/>
        <w:rPr>
          <w:rFonts w:ascii="Times New Roman" w:hAnsi="Times New Roman" w:cs="Times New Roman"/>
        </w:rPr>
      </w:pPr>
      <w:r w:rsidRPr="00554EE2">
        <w:rPr>
          <w:rStyle w:val="FootnoteReference"/>
          <w:rFonts w:ascii="Times New Roman" w:hAnsi="Times New Roman" w:cs="Times New Roman"/>
        </w:rPr>
        <w:footnoteRef/>
      </w:r>
      <w:r w:rsidRPr="00554EE2">
        <w:rPr>
          <w:rFonts w:ascii="Times New Roman" w:hAnsi="Times New Roman" w:cs="Times New Roman"/>
        </w:rPr>
        <w:t xml:space="preserve"> </w:t>
      </w:r>
      <w:r w:rsidR="00EE33F0" w:rsidRPr="00554EE2">
        <w:rPr>
          <w:rFonts w:ascii="Times New Roman" w:hAnsi="Times New Roman" w:cs="Times New Roman"/>
        </w:rPr>
        <w:fldChar w:fldCharType="begin"/>
      </w:r>
      <w:r w:rsidRPr="00554EE2">
        <w:rPr>
          <w:rFonts w:ascii="Times New Roman" w:hAnsi="Times New Roman" w:cs="Times New Roman"/>
        </w:rPr>
        <w:instrText xml:space="preserve"> ADDIN EN.CITE &lt;EndNote&gt;&lt;Cite&gt;&lt;Author&gt;Senior&lt;/Author&gt;&lt;Year&gt;1997&lt;/Year&gt;&lt;RecNum&gt;90&lt;/RecNum&gt;&lt;Pages&gt;102&lt;/Pages&gt;&lt;DisplayText&gt;Senior, &lt;style face="italic"&gt;The Gospel of Matthew&lt;/style&gt;: 102.&lt;/DisplayText&gt;&lt;record&gt;&lt;rec-number&gt;90&lt;/rec-number&gt;&lt;foreign-keys&gt;&lt;key app="EN" db-id="r00erd5py09farew0xpx9sz49dtxfs0ad9da"&gt;90&lt;/key&gt;&lt;/foreign-keys&gt;&lt;ref-type name="Book"&gt;6&lt;/ref-type&gt;&lt;contributors&gt;&lt;authors&gt;&lt;author&gt;Donald Senior&lt;/author&gt;&lt;/authors&gt;&lt;/contributors&gt;&lt;titles&gt;&lt;title&gt;The Gospel of Matthew&lt;/title&gt;&lt;/titles&gt;&lt;dates&gt;&lt;year&gt;1997&lt;/year&gt;&lt;/dates&gt;&lt;pub-location&gt;Nashville&lt;/pub-location&gt;&lt;publisher&gt;Abingdon Press&lt;/publisher&gt;&lt;urls&gt;&lt;/urls&gt;&lt;/record&gt;&lt;/Cite&gt;&lt;/EndNote&gt;</w:instrText>
      </w:r>
      <w:r w:rsidR="00EE33F0" w:rsidRPr="00554EE2">
        <w:rPr>
          <w:rFonts w:ascii="Times New Roman" w:hAnsi="Times New Roman" w:cs="Times New Roman"/>
        </w:rPr>
        <w:fldChar w:fldCharType="separate"/>
      </w:r>
      <w:r w:rsidRPr="00554EE2">
        <w:rPr>
          <w:rFonts w:ascii="Times New Roman" w:hAnsi="Times New Roman" w:cs="Times New Roman"/>
          <w:noProof/>
        </w:rPr>
        <w:t xml:space="preserve">Senior, </w:t>
      </w:r>
      <w:r w:rsidRPr="00554EE2">
        <w:rPr>
          <w:rFonts w:ascii="Times New Roman" w:hAnsi="Times New Roman" w:cs="Times New Roman"/>
          <w:i/>
          <w:noProof/>
        </w:rPr>
        <w:t>The Gospel of Matthew,</w:t>
      </w:r>
      <w:r w:rsidRPr="00554EE2">
        <w:rPr>
          <w:rFonts w:ascii="Times New Roman" w:hAnsi="Times New Roman" w:cs="Times New Roman"/>
          <w:noProof/>
        </w:rPr>
        <w:t xml:space="preserve"> 102.</w:t>
      </w:r>
      <w:r w:rsidR="00EE33F0" w:rsidRPr="00554EE2">
        <w:rPr>
          <w:rFonts w:ascii="Times New Roman" w:hAnsi="Times New Roman" w:cs="Times New Roman"/>
        </w:rPr>
        <w:fldChar w:fldCharType="end"/>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569DE"/>
    <w:rsid w:val="0006711C"/>
    <w:rsid w:val="00093C26"/>
    <w:rsid w:val="000941F4"/>
    <w:rsid w:val="000E63E5"/>
    <w:rsid w:val="001F1921"/>
    <w:rsid w:val="0024439A"/>
    <w:rsid w:val="00283963"/>
    <w:rsid w:val="00296664"/>
    <w:rsid w:val="002A0E75"/>
    <w:rsid w:val="00324F19"/>
    <w:rsid w:val="00342043"/>
    <w:rsid w:val="003612B4"/>
    <w:rsid w:val="003D117C"/>
    <w:rsid w:val="00471713"/>
    <w:rsid w:val="00523790"/>
    <w:rsid w:val="0053452D"/>
    <w:rsid w:val="00554EE2"/>
    <w:rsid w:val="006B4C7F"/>
    <w:rsid w:val="006E466F"/>
    <w:rsid w:val="00717AE6"/>
    <w:rsid w:val="007539A3"/>
    <w:rsid w:val="007A77D0"/>
    <w:rsid w:val="008C34EB"/>
    <w:rsid w:val="00965E40"/>
    <w:rsid w:val="00983D23"/>
    <w:rsid w:val="009B41D3"/>
    <w:rsid w:val="00B04634"/>
    <w:rsid w:val="00B76513"/>
    <w:rsid w:val="00C738BB"/>
    <w:rsid w:val="00D569DE"/>
    <w:rsid w:val="00E16D7C"/>
    <w:rsid w:val="00E22988"/>
    <w:rsid w:val="00E51535"/>
    <w:rsid w:val="00EE33F0"/>
    <w:rsid w:val="00F073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8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A0E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0E75"/>
  </w:style>
  <w:style w:type="paragraph" w:styleId="Footer">
    <w:name w:val="footer"/>
    <w:basedOn w:val="Normal"/>
    <w:link w:val="FooterChar"/>
    <w:uiPriority w:val="99"/>
    <w:unhideWhenUsed/>
    <w:rsid w:val="002A0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E75"/>
  </w:style>
  <w:style w:type="paragraph" w:styleId="FootnoteText">
    <w:name w:val="footnote text"/>
    <w:basedOn w:val="Normal"/>
    <w:link w:val="FootnoteTextChar"/>
    <w:semiHidden/>
    <w:unhideWhenUsed/>
    <w:rsid w:val="000671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711C"/>
    <w:rPr>
      <w:sz w:val="20"/>
      <w:szCs w:val="20"/>
    </w:rPr>
  </w:style>
  <w:style w:type="character" w:styleId="FootnoteReference">
    <w:name w:val="footnote reference"/>
    <w:basedOn w:val="DefaultParagraphFont"/>
    <w:semiHidden/>
    <w:unhideWhenUsed/>
    <w:rsid w:val="0006711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0950BD7-0483-447E-BAA7-616CF01D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28</cp:revision>
  <dcterms:created xsi:type="dcterms:W3CDTF">2021-06-05T04:00:00Z</dcterms:created>
  <dcterms:modified xsi:type="dcterms:W3CDTF">2021-06-17T03:53:00Z</dcterms:modified>
</cp:coreProperties>
</file>