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3A0" w:rsidRPr="00750E5C" w:rsidRDefault="00B553A0" w:rsidP="00B553A0">
      <w:pPr>
        <w:pStyle w:val="NoSpacing"/>
        <w:jc w:val="center"/>
        <w:rPr>
          <w:rFonts w:ascii="Times New Roman" w:hAnsi="Times New Roman" w:cs="Times New Roman"/>
          <w:b/>
          <w:sz w:val="32"/>
          <w:szCs w:val="32"/>
        </w:rPr>
      </w:pPr>
      <w:r w:rsidRPr="00750E5C">
        <w:rPr>
          <w:rFonts w:ascii="Times New Roman" w:hAnsi="Times New Roman" w:cs="Times New Roman"/>
          <w:b/>
          <w:sz w:val="32"/>
          <w:szCs w:val="32"/>
        </w:rPr>
        <w:t>DOMINICAN INSTITUTE</w:t>
      </w:r>
    </w:p>
    <w:p w:rsidR="00B553A0" w:rsidRDefault="00B553A0" w:rsidP="00B553A0">
      <w:pPr>
        <w:pStyle w:val="NoSpacing"/>
        <w:jc w:val="center"/>
        <w:rPr>
          <w:rFonts w:ascii="Times New Roman" w:hAnsi="Times New Roman" w:cs="Times New Roman"/>
          <w:b/>
          <w:sz w:val="24"/>
          <w:szCs w:val="24"/>
        </w:rPr>
      </w:pPr>
      <w:proofErr w:type="spellStart"/>
      <w:r>
        <w:rPr>
          <w:rFonts w:ascii="Times New Roman" w:hAnsi="Times New Roman" w:cs="Times New Roman"/>
          <w:b/>
          <w:sz w:val="24"/>
          <w:szCs w:val="24"/>
        </w:rPr>
        <w:t>Samonda</w:t>
      </w:r>
      <w:proofErr w:type="spellEnd"/>
      <w:r>
        <w:rPr>
          <w:rFonts w:ascii="Times New Roman" w:hAnsi="Times New Roman" w:cs="Times New Roman"/>
          <w:b/>
          <w:sz w:val="24"/>
          <w:szCs w:val="24"/>
        </w:rPr>
        <w:t>, Ibadan, Oyo State, Nigeria</w:t>
      </w:r>
    </w:p>
    <w:p w:rsidR="00B553A0" w:rsidRPr="00C9059E" w:rsidRDefault="00B553A0" w:rsidP="00B553A0">
      <w:pPr>
        <w:pStyle w:val="NoSpacing"/>
        <w:jc w:val="center"/>
        <w:rPr>
          <w:rFonts w:ascii="Times New Roman" w:hAnsi="Times New Roman" w:cs="Times New Roman"/>
          <w:b/>
          <w:sz w:val="24"/>
          <w:szCs w:val="24"/>
        </w:rPr>
      </w:pPr>
    </w:p>
    <w:p w:rsidR="00B553A0" w:rsidRPr="00B553A0" w:rsidRDefault="00B553A0" w:rsidP="00B553A0">
      <w:pPr>
        <w:spacing w:after="0" w:line="360" w:lineRule="auto"/>
        <w:ind w:right="29"/>
        <w:jc w:val="both"/>
        <w:rPr>
          <w:rFonts w:ascii="Times New Roman" w:hAnsi="Times New Roman" w:cs="Times New Roman"/>
          <w:sz w:val="24"/>
          <w:szCs w:val="24"/>
        </w:rPr>
      </w:pPr>
      <w:r w:rsidRPr="00B8316B">
        <w:rPr>
          <w:rFonts w:ascii="Times New Roman" w:hAnsi="Times New Roman" w:cs="Times New Roman"/>
          <w:b/>
          <w:sz w:val="24"/>
          <w:szCs w:val="24"/>
        </w:rPr>
        <w:t xml:space="preserve">Name: </w:t>
      </w:r>
      <w:proofErr w:type="spellStart"/>
      <w:r>
        <w:rPr>
          <w:rFonts w:ascii="Times New Roman" w:hAnsi="Times New Roman" w:cs="Times New Roman"/>
          <w:sz w:val="24"/>
          <w:szCs w:val="24"/>
        </w:rPr>
        <w:t>Ukpebor</w:t>
      </w:r>
      <w:proofErr w:type="spellEnd"/>
      <w:r>
        <w:rPr>
          <w:rFonts w:ascii="Times New Roman" w:hAnsi="Times New Roman" w:cs="Times New Roman"/>
          <w:sz w:val="24"/>
          <w:szCs w:val="24"/>
        </w:rPr>
        <w:t xml:space="preserve"> David</w:t>
      </w:r>
      <w:r w:rsidRPr="00B8316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9059E">
        <w:rPr>
          <w:rFonts w:ascii="Times New Roman" w:hAnsi="Times New Roman" w:cs="Times New Roman"/>
          <w:b/>
          <w:sz w:val="24"/>
          <w:szCs w:val="24"/>
        </w:rPr>
        <w:t>Matric No:</w:t>
      </w:r>
      <w:r>
        <w:rPr>
          <w:rFonts w:ascii="Times New Roman" w:hAnsi="Times New Roman" w:cs="Times New Roman"/>
          <w:sz w:val="24"/>
          <w:szCs w:val="24"/>
        </w:rPr>
        <w:t xml:space="preserve"> DI/900</w:t>
      </w:r>
      <w:r>
        <w:rPr>
          <w:rFonts w:ascii="Times New Roman" w:hAnsi="Times New Roman" w:cs="Times New Roman"/>
          <w:sz w:val="24"/>
          <w:szCs w:val="24"/>
        </w:rPr>
        <w:t xml:space="preserve">     </w:t>
      </w:r>
      <w:r>
        <w:rPr>
          <w:rFonts w:ascii="Times New Roman" w:hAnsi="Times New Roman" w:cs="Times New Roman"/>
          <w:b/>
          <w:sz w:val="24"/>
          <w:szCs w:val="24"/>
        </w:rPr>
        <w:t xml:space="preserve">Course: </w:t>
      </w:r>
      <w:r>
        <w:rPr>
          <w:rFonts w:ascii="Times New Roman" w:hAnsi="Times New Roman" w:cs="Times New Roman"/>
          <w:sz w:val="24"/>
          <w:szCs w:val="24"/>
        </w:rPr>
        <w:t>Theology of the New Testament</w:t>
      </w:r>
    </w:p>
    <w:p w:rsidR="00B553A0" w:rsidRPr="00B8316B" w:rsidRDefault="00B553A0" w:rsidP="00B553A0">
      <w:pPr>
        <w:spacing w:after="0" w:line="360" w:lineRule="auto"/>
        <w:ind w:right="29"/>
        <w:jc w:val="both"/>
        <w:rPr>
          <w:rFonts w:ascii="Times New Roman" w:hAnsi="Times New Roman" w:cs="Times New Roman"/>
          <w:sz w:val="24"/>
          <w:szCs w:val="24"/>
        </w:rPr>
      </w:pPr>
      <w:r>
        <w:rPr>
          <w:rFonts w:ascii="Times New Roman" w:hAnsi="Times New Roman" w:cs="Times New Roman"/>
          <w:b/>
          <w:sz w:val="24"/>
          <w:szCs w:val="24"/>
        </w:rPr>
        <w:t>Course C</w:t>
      </w:r>
      <w:r w:rsidRPr="00B8316B">
        <w:rPr>
          <w:rFonts w:ascii="Times New Roman" w:hAnsi="Times New Roman" w:cs="Times New Roman"/>
          <w:b/>
          <w:sz w:val="24"/>
          <w:szCs w:val="24"/>
        </w:rPr>
        <w:t xml:space="preserve">ode: </w:t>
      </w:r>
      <w:r>
        <w:rPr>
          <w:rFonts w:ascii="Times New Roman" w:hAnsi="Times New Roman" w:cs="Times New Roman"/>
          <w:sz w:val="24"/>
          <w:szCs w:val="24"/>
        </w:rPr>
        <w:t>TH 311</w:t>
      </w:r>
      <w:r w:rsidRPr="00B8316B">
        <w:rPr>
          <w:rFonts w:ascii="Times New Roman" w:hAnsi="Times New Roman" w:cs="Times New Roman"/>
          <w:sz w:val="24"/>
          <w:szCs w:val="24"/>
        </w:rPr>
        <w:t xml:space="preserve">             </w:t>
      </w:r>
      <w:r w:rsidRPr="00B8316B">
        <w:rPr>
          <w:rFonts w:ascii="Times New Roman" w:hAnsi="Times New Roman" w:cs="Times New Roman"/>
          <w:b/>
          <w:sz w:val="24"/>
          <w:szCs w:val="24"/>
        </w:rPr>
        <w:t>Lecture</w:t>
      </w:r>
      <w:r>
        <w:rPr>
          <w:rFonts w:ascii="Times New Roman" w:hAnsi="Times New Roman" w:cs="Times New Roman"/>
          <w:b/>
          <w:sz w:val="24"/>
          <w:szCs w:val="24"/>
        </w:rPr>
        <w:t>r</w:t>
      </w:r>
      <w:r w:rsidRPr="00B8316B">
        <w:rPr>
          <w:rFonts w:ascii="Times New Roman" w:hAnsi="Times New Roman" w:cs="Times New Roman"/>
          <w:b/>
          <w:sz w:val="24"/>
          <w:szCs w:val="24"/>
        </w:rPr>
        <w:t xml:space="preserve">: </w:t>
      </w:r>
      <w:r>
        <w:rPr>
          <w:rFonts w:ascii="Times New Roman" w:hAnsi="Times New Roman" w:cs="Times New Roman"/>
          <w:sz w:val="24"/>
          <w:szCs w:val="24"/>
        </w:rPr>
        <w:t>Fr.</w:t>
      </w:r>
      <w:r w:rsidRPr="00B8316B">
        <w:rPr>
          <w:rFonts w:ascii="Times New Roman" w:hAnsi="Times New Roman" w:cs="Times New Roman"/>
          <w:sz w:val="24"/>
          <w:szCs w:val="24"/>
        </w:rPr>
        <w:t xml:space="preserve"> </w:t>
      </w:r>
      <w:r>
        <w:rPr>
          <w:rFonts w:ascii="Times New Roman" w:hAnsi="Times New Roman" w:cs="Times New Roman"/>
          <w:sz w:val="24"/>
          <w:szCs w:val="24"/>
        </w:rPr>
        <w:t xml:space="preserve">Gilbert </w:t>
      </w:r>
      <w:proofErr w:type="spellStart"/>
      <w:r>
        <w:rPr>
          <w:rFonts w:ascii="Times New Roman" w:hAnsi="Times New Roman" w:cs="Times New Roman"/>
          <w:sz w:val="24"/>
          <w:szCs w:val="24"/>
        </w:rPr>
        <w:t>Munana</w:t>
      </w:r>
      <w:proofErr w:type="spellEnd"/>
      <w:r>
        <w:rPr>
          <w:rFonts w:ascii="Times New Roman" w:hAnsi="Times New Roman" w:cs="Times New Roman"/>
          <w:sz w:val="24"/>
          <w:szCs w:val="24"/>
        </w:rPr>
        <w:t xml:space="preserve">, O. </w:t>
      </w:r>
      <w:r w:rsidRPr="00B8316B">
        <w:rPr>
          <w:rFonts w:ascii="Times New Roman" w:hAnsi="Times New Roman" w:cs="Times New Roman"/>
          <w:sz w:val="24"/>
          <w:szCs w:val="24"/>
        </w:rPr>
        <w:t>P.</w:t>
      </w:r>
      <w:r>
        <w:rPr>
          <w:rFonts w:ascii="Times New Roman" w:hAnsi="Times New Roman" w:cs="Times New Roman"/>
          <w:sz w:val="24"/>
          <w:szCs w:val="24"/>
        </w:rPr>
        <w:t xml:space="preserve">            </w:t>
      </w:r>
    </w:p>
    <w:p w:rsidR="00B553A0" w:rsidRPr="00B8316B" w:rsidRDefault="00B553A0" w:rsidP="00B553A0">
      <w:pPr>
        <w:spacing w:after="0" w:line="360" w:lineRule="auto"/>
        <w:ind w:right="29"/>
        <w:jc w:val="both"/>
        <w:rPr>
          <w:rFonts w:ascii="Times New Roman" w:hAnsi="Times New Roman" w:cs="Times New Roman"/>
          <w:sz w:val="24"/>
          <w:szCs w:val="24"/>
        </w:rPr>
      </w:pPr>
      <w:r>
        <w:rPr>
          <w:rFonts w:ascii="Times New Roman" w:hAnsi="Times New Roman" w:cs="Times New Roman"/>
          <w:b/>
          <w:sz w:val="24"/>
          <w:szCs w:val="24"/>
        </w:rPr>
        <w:t>Level</w:t>
      </w:r>
      <w:r w:rsidRPr="00B8316B">
        <w:rPr>
          <w:rFonts w:ascii="Times New Roman" w:hAnsi="Times New Roman" w:cs="Times New Roman"/>
          <w:b/>
          <w:sz w:val="24"/>
          <w:szCs w:val="24"/>
        </w:rPr>
        <w:t xml:space="preserve">: </w:t>
      </w:r>
      <w:r>
        <w:rPr>
          <w:rFonts w:ascii="Times New Roman" w:hAnsi="Times New Roman" w:cs="Times New Roman"/>
          <w:sz w:val="24"/>
          <w:szCs w:val="24"/>
        </w:rPr>
        <w:t>300</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B553A0">
        <w:rPr>
          <w:rFonts w:ascii="Times New Roman" w:hAnsi="Times New Roman" w:cs="Times New Roman"/>
          <w:b/>
          <w:sz w:val="24"/>
          <w:szCs w:val="24"/>
        </w:rPr>
        <w:t>Exam:</w:t>
      </w:r>
      <w:r>
        <w:rPr>
          <w:rFonts w:ascii="Times New Roman" w:hAnsi="Times New Roman" w:cs="Times New Roman"/>
          <w:sz w:val="24"/>
          <w:szCs w:val="24"/>
        </w:rPr>
        <w:t xml:space="preserve"> First Semester Examination</w:t>
      </w:r>
    </w:p>
    <w:p w:rsidR="00B553A0" w:rsidRPr="00480A7B" w:rsidRDefault="00B553A0" w:rsidP="00B553A0">
      <w:pPr>
        <w:autoSpaceDE w:val="0"/>
        <w:autoSpaceDN w:val="0"/>
        <w:adjustRightInd w:val="0"/>
        <w:spacing w:after="0" w:line="360" w:lineRule="auto"/>
        <w:jc w:val="both"/>
        <w:rPr>
          <w:rFonts w:ascii="Times New Roman" w:hAnsi="Times New Roman" w:cs="Times New Roman"/>
          <w:sz w:val="6"/>
          <w:szCs w:val="24"/>
        </w:rPr>
      </w:pPr>
    </w:p>
    <w:p w:rsidR="00B553A0" w:rsidRPr="00B553A0" w:rsidRDefault="00B553A0" w:rsidP="00571FEE">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Question 1: </w:t>
      </w:r>
      <w:r w:rsidRPr="00B553A0">
        <w:rPr>
          <w:rFonts w:ascii="Times New Roman" w:hAnsi="Times New Roman" w:cs="Times New Roman"/>
          <w:b/>
          <w:sz w:val="24"/>
          <w:szCs w:val="24"/>
        </w:rPr>
        <w:t>The New Testament Theology is the title of some academic syllabi (courses) Does it exist?</w:t>
      </w:r>
    </w:p>
    <w:p w:rsidR="0096705A" w:rsidRPr="005E74DE" w:rsidRDefault="00B553A0" w:rsidP="0096705A">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It is pertinent to mention that</w:t>
      </w:r>
      <w:r w:rsidR="0096705A">
        <w:rPr>
          <w:rFonts w:ascii="Times New Roman" w:hAnsi="Times New Roman" w:cs="Times New Roman"/>
          <w:sz w:val="24"/>
          <w:szCs w:val="24"/>
        </w:rPr>
        <w:t xml:space="preserve"> “YES”</w:t>
      </w:r>
      <w:r>
        <w:rPr>
          <w:rFonts w:ascii="Times New Roman" w:hAnsi="Times New Roman" w:cs="Times New Roman"/>
          <w:sz w:val="24"/>
          <w:szCs w:val="24"/>
        </w:rPr>
        <w:t xml:space="preserve"> </w:t>
      </w:r>
      <w:r w:rsidR="001100FA">
        <w:rPr>
          <w:rFonts w:ascii="Times New Roman" w:hAnsi="Times New Roman" w:cs="Times New Roman"/>
          <w:sz w:val="24"/>
          <w:szCs w:val="24"/>
        </w:rPr>
        <w:t>the New Testament Theology exists, it is a term that evokes for us a body of Christian literature, that understanding is the product of a long development.</w:t>
      </w:r>
      <w:r w:rsidR="0096705A">
        <w:rPr>
          <w:rFonts w:ascii="Times New Roman" w:hAnsi="Times New Roman" w:cs="Times New Roman"/>
          <w:sz w:val="24"/>
          <w:szCs w:val="24"/>
        </w:rPr>
        <w:t xml:space="preserve"> </w:t>
      </w:r>
      <w:r w:rsidR="006E2088" w:rsidRPr="006E59E1">
        <w:rPr>
          <w:rFonts w:ascii="Times New Roman" w:hAnsi="Times New Roman" w:cs="Times New Roman"/>
          <w:sz w:val="24"/>
          <w:szCs w:val="24"/>
        </w:rPr>
        <w:t>New Testament theology is the exposition of the NT in grammatical, historical and cultural terms. The expression itself could be employed to cover the entire period from Christ’s inauguration of the New Covenant to the consummation of the redemptive program in the future, thereby setting in more adequate perspective the seeming disparity between the thousands of years of OT history and the scarce one hundred years of the life of Jesus and the apostles.</w:t>
      </w:r>
      <w:r w:rsidR="006039A8">
        <w:rPr>
          <w:rFonts w:ascii="Times New Roman" w:hAnsi="Times New Roman" w:cs="Times New Roman"/>
          <w:sz w:val="24"/>
          <w:szCs w:val="24"/>
        </w:rPr>
        <w:t xml:space="preserve"> </w:t>
      </w:r>
      <w:r w:rsidR="0096705A" w:rsidRPr="005E74DE">
        <w:rPr>
          <w:rFonts w:ascii="Times New Roman" w:hAnsi="Times New Roman" w:cs="Times New Roman"/>
          <w:sz w:val="24"/>
          <w:szCs w:val="24"/>
        </w:rPr>
        <w:t>It is unfortunate</w:t>
      </w:r>
      <w:r w:rsidR="0096705A">
        <w:rPr>
          <w:rFonts w:ascii="Times New Roman" w:hAnsi="Times New Roman" w:cs="Times New Roman"/>
          <w:sz w:val="24"/>
          <w:szCs w:val="24"/>
        </w:rPr>
        <w:t xml:space="preserve"> to mention </w:t>
      </w:r>
      <w:r w:rsidR="0096705A" w:rsidRPr="005E74DE">
        <w:rPr>
          <w:rFonts w:ascii="Times New Roman" w:hAnsi="Times New Roman" w:cs="Times New Roman"/>
          <w:sz w:val="24"/>
          <w:szCs w:val="24"/>
        </w:rPr>
        <w:t xml:space="preserve">that most theological institutions do not offer it as a separate subject. </w:t>
      </w:r>
      <w:r w:rsidR="0096705A">
        <w:rPr>
          <w:rFonts w:ascii="Times New Roman" w:hAnsi="Times New Roman" w:cs="Times New Roman"/>
          <w:sz w:val="24"/>
          <w:szCs w:val="24"/>
        </w:rPr>
        <w:t>In recent years, t</w:t>
      </w:r>
      <w:r w:rsidR="0096705A" w:rsidRPr="005E74DE">
        <w:rPr>
          <w:rFonts w:ascii="Times New Roman" w:hAnsi="Times New Roman" w:cs="Times New Roman"/>
          <w:sz w:val="24"/>
          <w:szCs w:val="24"/>
        </w:rPr>
        <w:t xml:space="preserve">here has been much debate about the viability of such a subject. It is often suggested that it really got going as a distinct branch of theology in 1787 when Johann Philipp </w:t>
      </w:r>
      <w:proofErr w:type="spellStart"/>
      <w:r w:rsidR="0096705A" w:rsidRPr="005E74DE">
        <w:rPr>
          <w:rFonts w:ascii="Times New Roman" w:hAnsi="Times New Roman" w:cs="Times New Roman"/>
          <w:sz w:val="24"/>
          <w:szCs w:val="24"/>
        </w:rPr>
        <w:t>Gabler</w:t>
      </w:r>
      <w:proofErr w:type="spellEnd"/>
      <w:r w:rsidR="0096705A" w:rsidRPr="005E74DE">
        <w:rPr>
          <w:rFonts w:ascii="Times New Roman" w:hAnsi="Times New Roman" w:cs="Times New Roman"/>
          <w:sz w:val="24"/>
          <w:szCs w:val="24"/>
        </w:rPr>
        <w:t xml:space="preserve"> </w:t>
      </w:r>
      <w:r w:rsidR="0096705A">
        <w:rPr>
          <w:rFonts w:ascii="Times New Roman" w:hAnsi="Times New Roman" w:cs="Times New Roman"/>
          <w:sz w:val="24"/>
          <w:szCs w:val="24"/>
        </w:rPr>
        <w:t xml:space="preserve">(who was considered as the founder of modern biblical theology) </w:t>
      </w:r>
      <w:r w:rsidR="0096705A" w:rsidRPr="005E74DE">
        <w:rPr>
          <w:rFonts w:ascii="Times New Roman" w:hAnsi="Times New Roman" w:cs="Times New Roman"/>
          <w:sz w:val="24"/>
          <w:szCs w:val="24"/>
        </w:rPr>
        <w:t>at the University of Altdorf gave his</w:t>
      </w:r>
      <w:r w:rsidR="0096705A">
        <w:rPr>
          <w:rFonts w:ascii="Times New Roman" w:hAnsi="Times New Roman" w:cs="Times New Roman"/>
          <w:sz w:val="24"/>
          <w:szCs w:val="24"/>
        </w:rPr>
        <w:t xml:space="preserve"> inaugural lecture entitled: “A d</w:t>
      </w:r>
      <w:r w:rsidR="0096705A" w:rsidRPr="005E74DE">
        <w:rPr>
          <w:rFonts w:ascii="Times New Roman" w:hAnsi="Times New Roman" w:cs="Times New Roman"/>
          <w:sz w:val="24"/>
          <w:szCs w:val="24"/>
        </w:rPr>
        <w:t>iscourse on the proper distinction between</w:t>
      </w:r>
      <w:r w:rsidR="006039A8">
        <w:rPr>
          <w:rFonts w:ascii="Times New Roman" w:hAnsi="Times New Roman" w:cs="Times New Roman"/>
          <w:sz w:val="24"/>
          <w:szCs w:val="24"/>
        </w:rPr>
        <w:t xml:space="preserve"> biblical and dogmatic theology</w:t>
      </w:r>
      <w:r w:rsidR="0096705A">
        <w:rPr>
          <w:rFonts w:ascii="Times New Roman" w:hAnsi="Times New Roman" w:cs="Times New Roman"/>
          <w:sz w:val="24"/>
          <w:szCs w:val="24"/>
        </w:rPr>
        <w:t>”</w:t>
      </w:r>
      <w:r w:rsidR="006039A8">
        <w:rPr>
          <w:rFonts w:ascii="Times New Roman" w:hAnsi="Times New Roman" w:cs="Times New Roman"/>
          <w:sz w:val="24"/>
          <w:szCs w:val="24"/>
        </w:rPr>
        <w:t>.</w:t>
      </w:r>
      <w:r w:rsidR="0096705A" w:rsidRPr="005E74DE">
        <w:rPr>
          <w:rFonts w:ascii="Times New Roman" w:hAnsi="Times New Roman" w:cs="Times New Roman"/>
          <w:sz w:val="24"/>
          <w:szCs w:val="24"/>
        </w:rPr>
        <w:t xml:space="preserve"> </w:t>
      </w:r>
      <w:proofErr w:type="spellStart"/>
      <w:r w:rsidR="006039A8">
        <w:rPr>
          <w:rFonts w:ascii="Times New Roman" w:hAnsi="Times New Roman" w:cs="Times New Roman"/>
          <w:sz w:val="24"/>
          <w:szCs w:val="24"/>
        </w:rPr>
        <w:t>Gabler’s</w:t>
      </w:r>
      <w:proofErr w:type="spellEnd"/>
      <w:r w:rsidR="0096705A" w:rsidRPr="005E74DE">
        <w:rPr>
          <w:rFonts w:ascii="Times New Roman" w:hAnsi="Times New Roman" w:cs="Times New Roman"/>
          <w:sz w:val="24"/>
          <w:szCs w:val="24"/>
        </w:rPr>
        <w:t xml:space="preserve"> purpose in studying the historical nature of biblical theolo</w:t>
      </w:r>
      <w:r w:rsidR="006039A8">
        <w:rPr>
          <w:rFonts w:ascii="Times New Roman" w:hAnsi="Times New Roman" w:cs="Times New Roman"/>
          <w:sz w:val="24"/>
          <w:szCs w:val="24"/>
        </w:rPr>
        <w:t xml:space="preserve">gy was to </w:t>
      </w:r>
      <w:r w:rsidR="0096705A" w:rsidRPr="005E74DE">
        <w:rPr>
          <w:rFonts w:ascii="Times New Roman" w:hAnsi="Times New Roman" w:cs="Times New Roman"/>
          <w:sz w:val="24"/>
          <w:szCs w:val="24"/>
        </w:rPr>
        <w:t>keep hold of the abstract and eternal truths that he believed</w:t>
      </w:r>
      <w:r w:rsidR="006039A8">
        <w:rPr>
          <w:rFonts w:ascii="Times New Roman" w:hAnsi="Times New Roman" w:cs="Times New Roman"/>
          <w:sz w:val="24"/>
          <w:szCs w:val="24"/>
        </w:rPr>
        <w:t xml:space="preserve"> were enshrined within it. </w:t>
      </w:r>
      <w:proofErr w:type="spellStart"/>
      <w:r w:rsidR="0096705A" w:rsidRPr="005E74DE">
        <w:rPr>
          <w:rFonts w:ascii="Times New Roman" w:hAnsi="Times New Roman" w:cs="Times New Roman"/>
          <w:sz w:val="24"/>
          <w:szCs w:val="24"/>
        </w:rPr>
        <w:t>Gabler</w:t>
      </w:r>
      <w:proofErr w:type="spellEnd"/>
      <w:r w:rsidR="0096705A" w:rsidRPr="005E74DE">
        <w:rPr>
          <w:rFonts w:ascii="Times New Roman" w:hAnsi="Times New Roman" w:cs="Times New Roman"/>
          <w:sz w:val="24"/>
          <w:szCs w:val="24"/>
        </w:rPr>
        <w:t xml:space="preserve"> di</w:t>
      </w:r>
      <w:r w:rsidR="006039A8">
        <w:rPr>
          <w:rFonts w:ascii="Times New Roman" w:hAnsi="Times New Roman" w:cs="Times New Roman"/>
          <w:sz w:val="24"/>
          <w:szCs w:val="24"/>
        </w:rPr>
        <w:t xml:space="preserve">d not invent biblical theology but </w:t>
      </w:r>
      <w:r w:rsidR="0096705A" w:rsidRPr="005E74DE">
        <w:rPr>
          <w:rFonts w:ascii="Times New Roman" w:hAnsi="Times New Roman" w:cs="Times New Roman"/>
          <w:sz w:val="24"/>
          <w:szCs w:val="24"/>
        </w:rPr>
        <w:t>he merely helped put the name on the map with a dubious methodology.</w:t>
      </w:r>
      <w:r w:rsidR="006E2088">
        <w:rPr>
          <w:rFonts w:ascii="Times New Roman" w:hAnsi="Times New Roman" w:cs="Times New Roman"/>
          <w:sz w:val="24"/>
          <w:szCs w:val="24"/>
        </w:rPr>
        <w:t xml:space="preserve"> </w:t>
      </w:r>
      <w:r w:rsidR="006E2088">
        <w:rPr>
          <w:rFonts w:ascii="Times New Roman" w:hAnsi="Times New Roman"/>
          <w:sz w:val="24"/>
          <w:szCs w:val="24"/>
        </w:rPr>
        <w:t xml:space="preserve">He made </w:t>
      </w:r>
      <w:r w:rsidR="006E2088">
        <w:rPr>
          <w:rFonts w:ascii="Times New Roman" w:hAnsi="Times New Roman"/>
          <w:sz w:val="24"/>
          <w:szCs w:val="24"/>
        </w:rPr>
        <w:t>distinction</w:t>
      </w:r>
      <w:r w:rsidR="006E2088">
        <w:rPr>
          <w:rFonts w:ascii="Times New Roman" w:hAnsi="Times New Roman"/>
          <w:sz w:val="24"/>
          <w:szCs w:val="24"/>
        </w:rPr>
        <w:t>s</w:t>
      </w:r>
      <w:r w:rsidR="006E2088">
        <w:rPr>
          <w:rFonts w:ascii="Times New Roman" w:hAnsi="Times New Roman"/>
          <w:sz w:val="24"/>
          <w:szCs w:val="24"/>
        </w:rPr>
        <w:t xml:space="preserve"> between biblical and dogmatic theology; For him, </w:t>
      </w:r>
      <w:r w:rsidR="006E2088" w:rsidRPr="00CE51B8">
        <w:rPr>
          <w:rFonts w:ascii="Times New Roman" w:hAnsi="Times New Roman" w:cs="Times New Roman"/>
          <w:sz w:val="24"/>
          <w:szCs w:val="24"/>
        </w:rPr>
        <w:t>Biblical theology has to be “pure and unmixed with foreign elements” that would provide dogmatic theology with the universal and u</w:t>
      </w:r>
      <w:r w:rsidR="006E2088">
        <w:rPr>
          <w:rFonts w:ascii="Times New Roman" w:hAnsi="Times New Roman"/>
          <w:sz w:val="24"/>
          <w:szCs w:val="24"/>
        </w:rPr>
        <w:t xml:space="preserve">nchanging truths of Scriptures; while </w:t>
      </w:r>
      <w:r w:rsidR="006E2088" w:rsidRPr="00CE51B8">
        <w:rPr>
          <w:rFonts w:ascii="Times New Roman" w:hAnsi="Times New Roman" w:cs="Times New Roman"/>
          <w:sz w:val="24"/>
          <w:szCs w:val="24"/>
        </w:rPr>
        <w:t xml:space="preserve">Dogmatic </w:t>
      </w:r>
      <w:r w:rsidR="006E2088" w:rsidRPr="00CE51B8">
        <w:rPr>
          <w:rFonts w:ascii="Times New Roman" w:hAnsi="Times New Roman" w:cs="Times New Roman"/>
          <w:sz w:val="24"/>
          <w:szCs w:val="24"/>
        </w:rPr>
        <w:lastRenderedPageBreak/>
        <w:t xml:space="preserve">theology is didactic in nature, “teaching what each theologian </w:t>
      </w:r>
      <w:r w:rsidR="006E2088" w:rsidRPr="00CE51B8">
        <w:rPr>
          <w:rFonts w:ascii="Times New Roman" w:hAnsi="Times New Roman"/>
          <w:sz w:val="24"/>
          <w:szCs w:val="24"/>
        </w:rPr>
        <w:t>philosophizes</w:t>
      </w:r>
      <w:r w:rsidR="006E2088" w:rsidRPr="00CE51B8">
        <w:rPr>
          <w:rFonts w:ascii="Times New Roman" w:hAnsi="Times New Roman" w:cs="Times New Roman"/>
          <w:sz w:val="24"/>
          <w:szCs w:val="24"/>
        </w:rPr>
        <w:t xml:space="preserve"> rationally about divine things, according to the measure of his ability or of the times, age, place, sect, school, and other similar factors”. </w:t>
      </w:r>
      <w:r w:rsidR="006E2088">
        <w:rPr>
          <w:rFonts w:ascii="Times New Roman" w:hAnsi="Times New Roman"/>
          <w:sz w:val="24"/>
          <w:szCs w:val="24"/>
        </w:rPr>
        <w:t xml:space="preserve">Also </w:t>
      </w:r>
      <w:r w:rsidR="006E2088" w:rsidRPr="00CE51B8">
        <w:rPr>
          <w:rFonts w:ascii="Times New Roman" w:hAnsi="Times New Roman" w:cs="Times New Roman"/>
          <w:sz w:val="24"/>
          <w:szCs w:val="24"/>
        </w:rPr>
        <w:t>Biblical theology as</w:t>
      </w:r>
      <w:r w:rsidR="009A2CF6">
        <w:rPr>
          <w:rFonts w:ascii="Times New Roman" w:hAnsi="Times New Roman" w:cs="Times New Roman"/>
          <w:sz w:val="24"/>
          <w:szCs w:val="24"/>
        </w:rPr>
        <w:t xml:space="preserve"> befits its historical approach</w:t>
      </w:r>
      <w:r w:rsidR="006E2088" w:rsidRPr="00CE51B8">
        <w:rPr>
          <w:rFonts w:ascii="Times New Roman" w:hAnsi="Times New Roman" w:cs="Times New Roman"/>
          <w:sz w:val="24"/>
          <w:szCs w:val="24"/>
        </w:rPr>
        <w:t xml:space="preserve"> is “always in accord with itself”, even though it may be elaborated in different ways, whereas Dogmatic theology is subject to change.</w:t>
      </w:r>
      <w:r w:rsidR="006E2088">
        <w:rPr>
          <w:rFonts w:ascii="Times New Roman" w:hAnsi="Times New Roman"/>
          <w:sz w:val="24"/>
          <w:szCs w:val="24"/>
        </w:rPr>
        <w:t xml:space="preserve"> For him, biblical theology has two tasks;</w:t>
      </w:r>
      <w:r w:rsidR="006E2088" w:rsidRPr="00CE51B8">
        <w:rPr>
          <w:rFonts w:ascii="Times New Roman" w:hAnsi="Times New Roman" w:cs="Times New Roman"/>
          <w:sz w:val="24"/>
          <w:szCs w:val="24"/>
        </w:rPr>
        <w:t xml:space="preserve"> </w:t>
      </w:r>
      <w:r w:rsidR="006E2088">
        <w:rPr>
          <w:rFonts w:ascii="Times New Roman" w:hAnsi="Times New Roman"/>
          <w:sz w:val="24"/>
          <w:szCs w:val="24"/>
        </w:rPr>
        <w:t>firstly, t</w:t>
      </w:r>
      <w:r w:rsidR="006E2088" w:rsidRPr="00CE51B8">
        <w:rPr>
          <w:rFonts w:ascii="Times New Roman" w:hAnsi="Times New Roman" w:cs="Times New Roman"/>
          <w:sz w:val="24"/>
          <w:szCs w:val="24"/>
        </w:rPr>
        <w:t>o provide an accurate historical description of the ide</w:t>
      </w:r>
      <w:r w:rsidR="006E2088">
        <w:rPr>
          <w:rFonts w:ascii="Times New Roman" w:hAnsi="Times New Roman"/>
          <w:sz w:val="24"/>
          <w:szCs w:val="24"/>
        </w:rPr>
        <w:t>as found in the sacred writings, and secondly to</w:t>
      </w:r>
      <w:r w:rsidR="006E2088" w:rsidRPr="00CE51B8">
        <w:rPr>
          <w:rFonts w:ascii="Times New Roman" w:hAnsi="Times New Roman" w:cs="Times New Roman"/>
          <w:sz w:val="24"/>
          <w:szCs w:val="24"/>
        </w:rPr>
        <w:t xml:space="preserve"> compare these ideas with each other in order to determine which are universal and enduring. In this way, biblical theology can provide dogmatic theology with the enduring and universal truths of Scriptures. </w:t>
      </w:r>
      <w:r w:rsidR="006E2088">
        <w:rPr>
          <w:rFonts w:ascii="Times New Roman" w:hAnsi="Times New Roman"/>
          <w:sz w:val="24"/>
          <w:szCs w:val="24"/>
        </w:rPr>
        <w:t xml:space="preserve">It is important to mention that most </w:t>
      </w:r>
      <w:r w:rsidR="006E2088" w:rsidRPr="00CE51B8">
        <w:rPr>
          <w:rFonts w:ascii="Times New Roman" w:hAnsi="Times New Roman" w:cs="Times New Roman"/>
          <w:sz w:val="24"/>
          <w:szCs w:val="24"/>
        </w:rPr>
        <w:t xml:space="preserve">scholars followed the first </w:t>
      </w:r>
      <w:proofErr w:type="spellStart"/>
      <w:r w:rsidR="006E2088" w:rsidRPr="00CE51B8">
        <w:rPr>
          <w:rFonts w:ascii="Times New Roman" w:hAnsi="Times New Roman" w:cs="Times New Roman"/>
          <w:sz w:val="24"/>
          <w:szCs w:val="24"/>
        </w:rPr>
        <w:t>Gabler’s</w:t>
      </w:r>
      <w:proofErr w:type="spellEnd"/>
      <w:r w:rsidR="006E2088" w:rsidRPr="00CE51B8">
        <w:rPr>
          <w:rFonts w:ascii="Times New Roman" w:hAnsi="Times New Roman" w:cs="Times New Roman"/>
          <w:sz w:val="24"/>
          <w:szCs w:val="24"/>
        </w:rPr>
        <w:t xml:space="preserve"> project (task), a historical presentation of the theology in Scriptures, abandoning the second one</w:t>
      </w:r>
      <w:r w:rsidR="006E2088">
        <w:rPr>
          <w:rFonts w:ascii="Times New Roman" w:hAnsi="Times New Roman"/>
          <w:sz w:val="24"/>
          <w:szCs w:val="24"/>
        </w:rPr>
        <w:t xml:space="preserve">; </w:t>
      </w:r>
      <w:r w:rsidR="006E2088" w:rsidRPr="00CE51B8">
        <w:rPr>
          <w:rFonts w:ascii="Times New Roman" w:hAnsi="Times New Roman" w:cs="Times New Roman"/>
          <w:sz w:val="24"/>
          <w:szCs w:val="24"/>
        </w:rPr>
        <w:t xml:space="preserve">providing </w:t>
      </w:r>
      <w:r w:rsidR="006E2088" w:rsidRPr="00CE51B8">
        <w:rPr>
          <w:rFonts w:ascii="Times New Roman" w:hAnsi="Times New Roman" w:cs="Times New Roman"/>
          <w:color w:val="000000"/>
          <w:sz w:val="24"/>
          <w:szCs w:val="24"/>
        </w:rPr>
        <w:t>dogmatic theology with the universal truths of Scriptures.</w:t>
      </w:r>
      <w:r w:rsidR="006E2088">
        <w:rPr>
          <w:rFonts w:ascii="Times New Roman" w:hAnsi="Times New Roman" w:cs="Times New Roman"/>
          <w:color w:val="000000"/>
          <w:sz w:val="24"/>
          <w:szCs w:val="24"/>
        </w:rPr>
        <w:t xml:space="preserve"> With all the debates and criticisms, it doesn’t negate the fact that the New Testament Theology </w:t>
      </w:r>
      <w:r w:rsidR="00300CB6">
        <w:rPr>
          <w:rFonts w:ascii="Times New Roman" w:hAnsi="Times New Roman" w:cs="Times New Roman"/>
          <w:color w:val="000000"/>
          <w:sz w:val="24"/>
          <w:szCs w:val="24"/>
        </w:rPr>
        <w:t xml:space="preserve">is the title of some academic courses, and it really exists. </w:t>
      </w:r>
    </w:p>
    <w:p w:rsidR="00300CB6" w:rsidRPr="00571FEE" w:rsidRDefault="00300CB6" w:rsidP="00300CB6">
      <w:pPr>
        <w:autoSpaceDE w:val="0"/>
        <w:autoSpaceDN w:val="0"/>
        <w:adjustRightInd w:val="0"/>
        <w:spacing w:after="0" w:line="480" w:lineRule="auto"/>
        <w:jc w:val="both"/>
        <w:rPr>
          <w:rFonts w:ascii="Times New Roman" w:hAnsi="Times New Roman" w:cs="Times New Roman"/>
          <w:b/>
          <w:sz w:val="2"/>
          <w:szCs w:val="24"/>
        </w:rPr>
      </w:pPr>
    </w:p>
    <w:p w:rsidR="00300CB6" w:rsidRPr="00B553A0" w:rsidRDefault="00440DCA" w:rsidP="00571FEE">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Question 2 (B)</w:t>
      </w:r>
      <w:r w:rsidR="00300CB6">
        <w:rPr>
          <w:rFonts w:ascii="Times New Roman" w:hAnsi="Times New Roman" w:cs="Times New Roman"/>
          <w:b/>
          <w:sz w:val="24"/>
          <w:szCs w:val="24"/>
        </w:rPr>
        <w:t xml:space="preserve">: </w:t>
      </w:r>
      <w:r>
        <w:rPr>
          <w:rFonts w:ascii="Times New Roman" w:hAnsi="Times New Roman" w:cs="Times New Roman"/>
          <w:b/>
          <w:sz w:val="24"/>
          <w:szCs w:val="24"/>
        </w:rPr>
        <w:t>Christology of the Synoptic Gospels</w:t>
      </w:r>
    </w:p>
    <w:p w:rsidR="00571FEE" w:rsidRDefault="00440DCA" w:rsidP="00571FEE">
      <w:pPr>
        <w:autoSpaceDE w:val="0"/>
        <w:autoSpaceDN w:val="0"/>
        <w:adjustRightInd w:val="0"/>
        <w:spacing w:after="0" w:line="480" w:lineRule="auto"/>
        <w:jc w:val="both"/>
        <w:rPr>
          <w:rFonts w:ascii="Times New Roman" w:hAnsi="Times New Roman"/>
          <w:sz w:val="24"/>
          <w:szCs w:val="24"/>
        </w:rPr>
      </w:pPr>
      <w:r>
        <w:rPr>
          <w:rFonts w:ascii="Times New Roman" w:hAnsi="Times New Roman" w:cs="Times New Roman"/>
          <w:sz w:val="24"/>
          <w:szCs w:val="24"/>
        </w:rPr>
        <w:t>It is important</w:t>
      </w:r>
      <w:r w:rsidR="00300CB6">
        <w:rPr>
          <w:rFonts w:ascii="Times New Roman" w:hAnsi="Times New Roman" w:cs="Times New Roman"/>
          <w:sz w:val="24"/>
          <w:szCs w:val="24"/>
        </w:rPr>
        <w:t xml:space="preserve"> to mention that</w:t>
      </w:r>
      <w:r>
        <w:rPr>
          <w:rFonts w:ascii="Times New Roman" w:hAnsi="Times New Roman" w:cs="Times New Roman"/>
          <w:sz w:val="24"/>
          <w:szCs w:val="24"/>
        </w:rPr>
        <w:t xml:space="preserve"> </w:t>
      </w:r>
      <w:r w:rsidR="00605F49">
        <w:rPr>
          <w:rFonts w:ascii="Times New Roman" w:hAnsi="Times New Roman" w:cs="Times New Roman"/>
          <w:sz w:val="24"/>
          <w:szCs w:val="24"/>
        </w:rPr>
        <w:t xml:space="preserve">there are four gospels (Matthew, Mark, </w:t>
      </w:r>
      <w:r w:rsidR="00605F49">
        <w:rPr>
          <w:rFonts w:ascii="Times New Roman" w:hAnsi="Times New Roman" w:cs="Times New Roman"/>
          <w:sz w:val="24"/>
          <w:szCs w:val="24"/>
        </w:rPr>
        <w:t>Luke</w:t>
      </w:r>
      <w:r w:rsidR="00605F49">
        <w:rPr>
          <w:rFonts w:ascii="Times New Roman" w:hAnsi="Times New Roman" w:cs="Times New Roman"/>
          <w:sz w:val="24"/>
          <w:szCs w:val="24"/>
        </w:rPr>
        <w:t xml:space="preserve"> and John</w:t>
      </w:r>
      <w:r w:rsidR="00605F49">
        <w:rPr>
          <w:rFonts w:ascii="Times New Roman" w:hAnsi="Times New Roman" w:cs="Times New Roman"/>
          <w:sz w:val="24"/>
          <w:szCs w:val="24"/>
        </w:rPr>
        <w:t>)</w:t>
      </w:r>
      <w:r w:rsidR="00605F49">
        <w:rPr>
          <w:rFonts w:ascii="Times New Roman" w:hAnsi="Times New Roman" w:cs="Times New Roman"/>
          <w:sz w:val="24"/>
          <w:szCs w:val="24"/>
        </w:rPr>
        <w:t xml:space="preserve"> but only three are regarded as synoptic gospels (Matthew, Mark and Luke). </w:t>
      </w:r>
      <w:r w:rsidR="00605F49">
        <w:rPr>
          <w:rFonts w:ascii="Times New Roman" w:hAnsi="Times New Roman" w:cs="Times New Roman"/>
          <w:sz w:val="24"/>
          <w:szCs w:val="24"/>
        </w:rPr>
        <w:t xml:space="preserve">Christology is </w:t>
      </w:r>
      <w:r w:rsidR="00605F49">
        <w:rPr>
          <w:rFonts w:ascii="Times New Roman" w:hAnsi="Times New Roman" w:cs="Times New Roman"/>
          <w:sz w:val="24"/>
          <w:szCs w:val="24"/>
        </w:rPr>
        <w:t xml:space="preserve">therefore the study of Christ which entails </w:t>
      </w:r>
      <w:r w:rsidR="00605F49">
        <w:rPr>
          <w:rFonts w:ascii="Times New Roman" w:hAnsi="Times New Roman" w:cs="Times New Roman"/>
          <w:sz w:val="24"/>
          <w:szCs w:val="24"/>
        </w:rPr>
        <w:t xml:space="preserve">his person, nature, and work. </w:t>
      </w:r>
      <w:r w:rsidR="00480A7B">
        <w:rPr>
          <w:rFonts w:ascii="Times New Roman" w:hAnsi="Times New Roman"/>
          <w:sz w:val="24"/>
          <w:szCs w:val="24"/>
        </w:rPr>
        <w:t xml:space="preserve">The </w:t>
      </w:r>
      <w:r w:rsidR="00480A7B" w:rsidRPr="00C27437">
        <w:rPr>
          <w:rFonts w:ascii="Times New Roman" w:hAnsi="Times New Roman" w:cs="Times New Roman"/>
          <w:sz w:val="24"/>
          <w:szCs w:val="24"/>
        </w:rPr>
        <w:t>Synoptic Gospels demonstrate strong interaction with earlier Jewish traditions, but</w:t>
      </w:r>
      <w:r w:rsidR="00571FEE">
        <w:rPr>
          <w:rFonts w:ascii="Times New Roman" w:hAnsi="Times New Roman" w:cs="Times New Roman"/>
          <w:sz w:val="24"/>
          <w:szCs w:val="24"/>
        </w:rPr>
        <w:t xml:space="preserve"> they also </w:t>
      </w:r>
      <w:r w:rsidR="00480A7B" w:rsidRPr="00C27437">
        <w:rPr>
          <w:rFonts w:ascii="Times New Roman" w:hAnsi="Times New Roman" w:cs="Times New Roman"/>
          <w:sz w:val="24"/>
          <w:szCs w:val="24"/>
        </w:rPr>
        <w:t>show that Jesus fills an even bigger ro</w:t>
      </w:r>
      <w:r w:rsidR="00571FEE">
        <w:rPr>
          <w:rFonts w:ascii="Times New Roman" w:hAnsi="Times New Roman"/>
          <w:sz w:val="24"/>
          <w:szCs w:val="24"/>
        </w:rPr>
        <w:t>le: that of God himself</w:t>
      </w:r>
      <w:r w:rsidR="00480A7B">
        <w:rPr>
          <w:rFonts w:ascii="Times New Roman" w:hAnsi="Times New Roman"/>
          <w:sz w:val="24"/>
          <w:szCs w:val="24"/>
        </w:rPr>
        <w:t xml:space="preserve">.  </w:t>
      </w:r>
    </w:p>
    <w:p w:rsidR="00480A7B" w:rsidRPr="00C27437" w:rsidRDefault="00480A7B" w:rsidP="00571FE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sz w:val="24"/>
          <w:szCs w:val="24"/>
        </w:rPr>
        <w:t>The C</w:t>
      </w:r>
      <w:r w:rsidRPr="00C27437">
        <w:rPr>
          <w:rFonts w:ascii="Times New Roman" w:hAnsi="Times New Roman" w:cs="Times New Roman"/>
          <w:sz w:val="24"/>
          <w:szCs w:val="24"/>
        </w:rPr>
        <w:t xml:space="preserve">hristological footprint in the </w:t>
      </w:r>
      <w:r w:rsidRPr="00C27437">
        <w:rPr>
          <w:rFonts w:ascii="Times New Roman" w:hAnsi="Times New Roman" w:cs="Times New Roman"/>
          <w:b/>
          <w:sz w:val="24"/>
          <w:szCs w:val="24"/>
        </w:rPr>
        <w:t>Gospel of Mark</w:t>
      </w:r>
      <w:r w:rsidRPr="00C27437">
        <w:rPr>
          <w:rFonts w:ascii="Times New Roman" w:hAnsi="Times New Roman" w:cs="Times New Roman"/>
          <w:sz w:val="24"/>
          <w:szCs w:val="24"/>
        </w:rPr>
        <w:t xml:space="preserve"> appears to be focused on revealing Jesus in the role of God and as God’s servant. The former is demonstrated from the clear statement at the incipiency of the Gospel: “the beginning of the good news of Jesus Christ” (Mark 1:1). </w:t>
      </w:r>
      <w:r>
        <w:rPr>
          <w:rFonts w:ascii="Times New Roman" w:hAnsi="Times New Roman"/>
          <w:sz w:val="24"/>
          <w:szCs w:val="24"/>
        </w:rPr>
        <w:t xml:space="preserve">Mark places Jesus in the role of God </w:t>
      </w:r>
      <w:r w:rsidRPr="00C27437">
        <w:rPr>
          <w:rFonts w:ascii="Times New Roman" w:hAnsi="Times New Roman" w:cs="Times New Roman"/>
          <w:sz w:val="24"/>
          <w:szCs w:val="24"/>
        </w:rPr>
        <w:t>in</w:t>
      </w:r>
      <w:r>
        <w:rPr>
          <w:rFonts w:ascii="Times New Roman" w:hAnsi="Times New Roman"/>
          <w:sz w:val="24"/>
          <w:szCs w:val="24"/>
        </w:rPr>
        <w:t>stead of the “good news” of God.</w:t>
      </w:r>
      <w:r w:rsidRPr="00C27437">
        <w:rPr>
          <w:rFonts w:ascii="Times New Roman" w:hAnsi="Times New Roman" w:cs="Times New Roman"/>
          <w:sz w:val="24"/>
          <w:szCs w:val="24"/>
        </w:rPr>
        <w:t xml:space="preserve"> Jesus’s teaching with authority, healings, and the “theophany</w:t>
      </w:r>
      <w:r>
        <w:rPr>
          <w:rFonts w:ascii="Times New Roman" w:hAnsi="Times New Roman"/>
          <w:sz w:val="24"/>
          <w:szCs w:val="24"/>
        </w:rPr>
        <w:t xml:space="preserve"> on the Sea of Galilee” reveals</w:t>
      </w:r>
      <w:r w:rsidRPr="00C27437">
        <w:rPr>
          <w:rFonts w:ascii="Times New Roman" w:hAnsi="Times New Roman" w:cs="Times New Roman"/>
          <w:sz w:val="24"/>
          <w:szCs w:val="24"/>
        </w:rPr>
        <w:t xml:space="preserve"> Jesus as “the coming of </w:t>
      </w:r>
      <w:r w:rsidRPr="00C27437">
        <w:rPr>
          <w:rFonts w:ascii="Times New Roman" w:hAnsi="Times New Roman" w:cs="Times New Roman"/>
          <w:sz w:val="24"/>
          <w:szCs w:val="24"/>
        </w:rPr>
        <w:lastRenderedPageBreak/>
        <w:t>God to earth”</w:t>
      </w:r>
      <w:r>
        <w:rPr>
          <w:rFonts w:ascii="Times New Roman" w:hAnsi="Times New Roman"/>
          <w:sz w:val="24"/>
          <w:szCs w:val="24"/>
        </w:rPr>
        <w:t>.</w:t>
      </w:r>
      <w:r w:rsidRPr="00C27437">
        <w:rPr>
          <w:rFonts w:ascii="Times New Roman" w:hAnsi="Times New Roman" w:cs="Times New Roman"/>
          <w:sz w:val="24"/>
          <w:szCs w:val="24"/>
        </w:rPr>
        <w:t xml:space="preserve"> </w:t>
      </w:r>
      <w:r>
        <w:rPr>
          <w:rFonts w:ascii="Times New Roman" w:hAnsi="Times New Roman"/>
          <w:sz w:val="24"/>
          <w:szCs w:val="24"/>
        </w:rPr>
        <w:t xml:space="preserve">Also Mark </w:t>
      </w:r>
      <w:r w:rsidRPr="00C27437">
        <w:rPr>
          <w:rFonts w:ascii="Times New Roman" w:hAnsi="Times New Roman" w:cs="Times New Roman"/>
          <w:sz w:val="24"/>
          <w:szCs w:val="24"/>
        </w:rPr>
        <w:t>focuses on Jesus as God’s servant, in particular as “Son of God,” which is “the most important title for Jesus in th</w:t>
      </w:r>
      <w:r>
        <w:rPr>
          <w:rFonts w:ascii="Times New Roman" w:hAnsi="Times New Roman"/>
          <w:sz w:val="24"/>
          <w:szCs w:val="24"/>
        </w:rPr>
        <w:t>e Gospel of Mark”</w:t>
      </w:r>
      <w:r w:rsidRPr="00C27437">
        <w:rPr>
          <w:rFonts w:ascii="Times New Roman" w:hAnsi="Times New Roman" w:cs="Times New Roman"/>
          <w:sz w:val="24"/>
          <w:szCs w:val="24"/>
        </w:rPr>
        <w:t>. Ultimately, Mark’s Gospel displays a combined portrait of Jesus as suffering Messiah and divine, authoritative Son of God.</w:t>
      </w:r>
    </w:p>
    <w:p w:rsidR="00480A7B" w:rsidRPr="00C27437" w:rsidRDefault="00480A7B" w:rsidP="00480A7B">
      <w:pPr>
        <w:pStyle w:val="NoSpacing"/>
        <w:spacing w:line="480" w:lineRule="auto"/>
        <w:jc w:val="both"/>
        <w:rPr>
          <w:rFonts w:ascii="Times New Roman" w:hAnsi="Times New Roman" w:cs="Times New Roman"/>
          <w:sz w:val="24"/>
          <w:szCs w:val="24"/>
        </w:rPr>
      </w:pPr>
      <w:r w:rsidRPr="00C27437">
        <w:rPr>
          <w:rFonts w:ascii="Times New Roman" w:hAnsi="Times New Roman" w:cs="Times New Roman"/>
          <w:sz w:val="24"/>
          <w:szCs w:val="24"/>
        </w:rPr>
        <w:t xml:space="preserve">In the </w:t>
      </w:r>
      <w:r w:rsidRPr="00AB0116">
        <w:rPr>
          <w:rFonts w:ascii="Times New Roman" w:hAnsi="Times New Roman" w:cs="Times New Roman"/>
          <w:b/>
          <w:sz w:val="24"/>
          <w:szCs w:val="24"/>
        </w:rPr>
        <w:t>Gospel of Matthew</w:t>
      </w:r>
      <w:r w:rsidRPr="00C27437">
        <w:rPr>
          <w:rFonts w:ascii="Times New Roman" w:hAnsi="Times New Roman" w:cs="Times New Roman"/>
          <w:sz w:val="24"/>
          <w:szCs w:val="24"/>
        </w:rPr>
        <w:t xml:space="preserve">, the infancy narrative reveals two key names for Jesus: “Jesus” (Yahweh saves) and “Emmanuel” (God is with us). </w:t>
      </w:r>
      <w:r>
        <w:rPr>
          <w:rFonts w:ascii="Times New Roman" w:hAnsi="Times New Roman"/>
          <w:sz w:val="24"/>
          <w:szCs w:val="24"/>
        </w:rPr>
        <w:t>B</w:t>
      </w:r>
      <w:r w:rsidRPr="00C27437">
        <w:rPr>
          <w:rFonts w:ascii="Times New Roman" w:hAnsi="Times New Roman" w:cs="Times New Roman"/>
          <w:sz w:val="24"/>
          <w:szCs w:val="24"/>
        </w:rPr>
        <w:t>oth of these names</w:t>
      </w:r>
      <w:r>
        <w:rPr>
          <w:rFonts w:ascii="Times New Roman" w:hAnsi="Times New Roman"/>
          <w:sz w:val="24"/>
          <w:szCs w:val="24"/>
        </w:rPr>
        <w:t xml:space="preserve"> identify Jesus with God;</w:t>
      </w:r>
      <w:r w:rsidRPr="00C27437">
        <w:rPr>
          <w:rFonts w:ascii="Times New Roman" w:hAnsi="Times New Roman" w:cs="Times New Roman"/>
          <w:sz w:val="24"/>
          <w:szCs w:val="24"/>
        </w:rPr>
        <w:t xml:space="preserve"> </w:t>
      </w:r>
      <w:proofErr w:type="gramStart"/>
      <w:r w:rsidRPr="00C27437">
        <w:rPr>
          <w:rFonts w:ascii="Times New Roman" w:hAnsi="Times New Roman" w:cs="Times New Roman"/>
          <w:sz w:val="24"/>
          <w:szCs w:val="24"/>
        </w:rPr>
        <w:t>It</w:t>
      </w:r>
      <w:proofErr w:type="gramEnd"/>
      <w:r w:rsidRPr="00C27437">
        <w:rPr>
          <w:rFonts w:ascii="Times New Roman" w:hAnsi="Times New Roman" w:cs="Times New Roman"/>
          <w:sz w:val="24"/>
          <w:szCs w:val="24"/>
        </w:rPr>
        <w:t xml:space="preserve"> is Jesus who saves, and it is Jesus who is now God with Israel. Matthew’s theme of Jesus as God’s presence is seen throughout the Gospel, especially at its conclusion where Jesus proclaims to his disciples his presence with them “to the end of the age” (Matt 28:20). Matthew also identifies Jesus with the God of Israel through the attribution</w:t>
      </w:r>
      <w:r>
        <w:rPr>
          <w:rFonts w:ascii="Times New Roman" w:hAnsi="Times New Roman"/>
          <w:sz w:val="24"/>
          <w:szCs w:val="24"/>
        </w:rPr>
        <w:t xml:space="preserve"> of worship to Jesus</w:t>
      </w:r>
      <w:r w:rsidRPr="00C27437">
        <w:rPr>
          <w:rFonts w:ascii="Times New Roman" w:hAnsi="Times New Roman" w:cs="Times New Roman"/>
          <w:sz w:val="24"/>
          <w:szCs w:val="24"/>
        </w:rPr>
        <w:t>. Jesus as God’s servant is equally important to Matthew, especially as the messianic “</w:t>
      </w:r>
      <w:r w:rsidR="00403148">
        <w:rPr>
          <w:rFonts w:ascii="Times New Roman" w:hAnsi="Times New Roman" w:cs="Times New Roman"/>
          <w:sz w:val="24"/>
          <w:szCs w:val="24"/>
        </w:rPr>
        <w:t>S</w:t>
      </w:r>
      <w:r w:rsidRPr="00C27437">
        <w:rPr>
          <w:rFonts w:ascii="Times New Roman" w:hAnsi="Times New Roman" w:cs="Times New Roman"/>
          <w:sz w:val="24"/>
          <w:szCs w:val="24"/>
        </w:rPr>
        <w:t>on of David” and the “eschatological shepherd” mentioned in the prophetic works of Micah, E</w:t>
      </w:r>
      <w:r>
        <w:rPr>
          <w:rFonts w:ascii="Times New Roman" w:hAnsi="Times New Roman"/>
          <w:sz w:val="24"/>
          <w:szCs w:val="24"/>
        </w:rPr>
        <w:t>zekiel, and Jeremiah</w:t>
      </w:r>
      <w:r w:rsidRPr="00C27437">
        <w:rPr>
          <w:rFonts w:ascii="Times New Roman" w:hAnsi="Times New Roman" w:cs="Times New Roman"/>
          <w:sz w:val="24"/>
          <w:szCs w:val="24"/>
        </w:rPr>
        <w:t xml:space="preserve">. </w:t>
      </w:r>
    </w:p>
    <w:p w:rsidR="00480A7B" w:rsidRPr="00C27437" w:rsidRDefault="00480A7B" w:rsidP="00480A7B">
      <w:pPr>
        <w:pStyle w:val="NoSpacing"/>
        <w:spacing w:line="480" w:lineRule="auto"/>
        <w:jc w:val="both"/>
        <w:rPr>
          <w:rFonts w:ascii="Times New Roman" w:hAnsi="Times New Roman" w:cs="Times New Roman"/>
          <w:sz w:val="24"/>
          <w:szCs w:val="24"/>
        </w:rPr>
      </w:pPr>
      <w:r w:rsidRPr="00C27437">
        <w:rPr>
          <w:rFonts w:ascii="Times New Roman" w:hAnsi="Times New Roman" w:cs="Times New Roman"/>
          <w:sz w:val="24"/>
          <w:szCs w:val="24"/>
        </w:rPr>
        <w:t>In</w:t>
      </w:r>
      <w:r w:rsidR="007938DC">
        <w:rPr>
          <w:rFonts w:ascii="Times New Roman" w:hAnsi="Times New Roman" w:cs="Times New Roman"/>
          <w:sz w:val="24"/>
          <w:szCs w:val="24"/>
        </w:rPr>
        <w:t xml:space="preserve"> the</w:t>
      </w:r>
      <w:r>
        <w:rPr>
          <w:rFonts w:ascii="Times New Roman" w:hAnsi="Times New Roman"/>
          <w:sz w:val="24"/>
          <w:szCs w:val="24"/>
        </w:rPr>
        <w:t xml:space="preserve"> </w:t>
      </w:r>
      <w:r w:rsidRPr="00480A7B">
        <w:rPr>
          <w:rFonts w:ascii="Times New Roman" w:hAnsi="Times New Roman"/>
          <w:b/>
          <w:sz w:val="24"/>
          <w:szCs w:val="24"/>
        </w:rPr>
        <w:t>Gospel</w:t>
      </w:r>
      <w:r w:rsidR="007938DC">
        <w:rPr>
          <w:rFonts w:ascii="Times New Roman" w:hAnsi="Times New Roman"/>
          <w:b/>
          <w:sz w:val="24"/>
          <w:szCs w:val="24"/>
        </w:rPr>
        <w:t xml:space="preserve"> of Luke</w:t>
      </w:r>
      <w:r w:rsidR="007938DC" w:rsidRPr="007938DC">
        <w:rPr>
          <w:rFonts w:ascii="Times New Roman" w:hAnsi="Times New Roman"/>
          <w:sz w:val="24"/>
          <w:szCs w:val="24"/>
        </w:rPr>
        <w:t>,</w:t>
      </w:r>
      <w:r>
        <w:rPr>
          <w:rFonts w:ascii="Times New Roman" w:hAnsi="Times New Roman"/>
          <w:sz w:val="24"/>
          <w:szCs w:val="24"/>
        </w:rPr>
        <w:t xml:space="preserve"> t</w:t>
      </w:r>
      <w:r w:rsidRPr="00C27437">
        <w:rPr>
          <w:rFonts w:ascii="Times New Roman" w:hAnsi="Times New Roman" w:cs="Times New Roman"/>
          <w:sz w:val="24"/>
          <w:szCs w:val="24"/>
        </w:rPr>
        <w:t xml:space="preserve">he title of Lord is far more prominent </w:t>
      </w:r>
      <w:r>
        <w:rPr>
          <w:rFonts w:ascii="Times New Roman" w:hAnsi="Times New Roman"/>
          <w:sz w:val="24"/>
          <w:szCs w:val="24"/>
        </w:rPr>
        <w:t xml:space="preserve">than in other synoptic gospels. </w:t>
      </w:r>
      <w:r w:rsidRPr="00C27437">
        <w:rPr>
          <w:rFonts w:ascii="Times New Roman" w:hAnsi="Times New Roman" w:cs="Times New Roman"/>
          <w:sz w:val="24"/>
          <w:szCs w:val="24"/>
        </w:rPr>
        <w:t>Luke as narrator is concerned especially with naming Jesus as Lord, to the point that “Jesus and God share the same name”</w:t>
      </w:r>
      <w:r>
        <w:rPr>
          <w:rFonts w:ascii="Times New Roman" w:hAnsi="Times New Roman"/>
          <w:sz w:val="24"/>
          <w:szCs w:val="24"/>
        </w:rPr>
        <w:t>.</w:t>
      </w:r>
      <w:r w:rsidRPr="00C27437">
        <w:rPr>
          <w:rFonts w:ascii="Times New Roman" w:hAnsi="Times New Roman" w:cs="Times New Roman"/>
          <w:sz w:val="24"/>
          <w:szCs w:val="24"/>
        </w:rPr>
        <w:t xml:space="preserve"> Jesus is depicted as both God’s agent and in the role of God on earth, particularly in the act of salvation. Simeon’s proclamation that he “has seen God’s salvation when he has seen the baby Jesus (</w:t>
      </w:r>
      <w:r>
        <w:rPr>
          <w:rFonts w:ascii="Times New Roman" w:hAnsi="Times New Roman"/>
          <w:sz w:val="24"/>
          <w:szCs w:val="24"/>
        </w:rPr>
        <w:t>Luke 2:30)”</w:t>
      </w:r>
      <w:r w:rsidRPr="00C27437">
        <w:rPr>
          <w:rFonts w:ascii="Times New Roman" w:hAnsi="Times New Roman" w:cs="Times New Roman"/>
          <w:sz w:val="24"/>
          <w:szCs w:val="24"/>
        </w:rPr>
        <w:t xml:space="preserve"> demonstrates that “Jesus is not merely an agent of salvation” but the one through whom salvation comes. </w:t>
      </w:r>
      <w:r>
        <w:rPr>
          <w:rFonts w:ascii="Times New Roman" w:hAnsi="Times New Roman"/>
          <w:sz w:val="24"/>
          <w:szCs w:val="24"/>
        </w:rPr>
        <w:t>S</w:t>
      </w:r>
      <w:r w:rsidRPr="00C27437">
        <w:rPr>
          <w:rFonts w:ascii="Times New Roman" w:hAnsi="Times New Roman" w:cs="Times New Roman"/>
          <w:sz w:val="24"/>
          <w:szCs w:val="24"/>
        </w:rPr>
        <w:t>alvation and faith in Jesus are tied more closely together in Luke, a combination typically reserved for Yahweh in the OT. Like the other Gospels, however, Jesus is a</w:t>
      </w:r>
      <w:r>
        <w:rPr>
          <w:rFonts w:ascii="Times New Roman" w:hAnsi="Times New Roman"/>
          <w:sz w:val="24"/>
          <w:szCs w:val="24"/>
        </w:rPr>
        <w:t xml:space="preserve">lso pictured as God’s servant. It is also important to mention that the </w:t>
      </w:r>
      <w:r w:rsidRPr="00C27437">
        <w:rPr>
          <w:rFonts w:ascii="Times New Roman" w:hAnsi="Times New Roman" w:cs="Times New Roman"/>
          <w:sz w:val="24"/>
          <w:szCs w:val="24"/>
        </w:rPr>
        <w:t>prophetic aspects of Jesus’ ministry receive</w:t>
      </w:r>
      <w:r>
        <w:rPr>
          <w:rFonts w:ascii="Times New Roman" w:hAnsi="Times New Roman"/>
          <w:sz w:val="24"/>
          <w:szCs w:val="24"/>
        </w:rPr>
        <w:t>d</w:t>
      </w:r>
      <w:r w:rsidRPr="00C27437">
        <w:rPr>
          <w:rFonts w:ascii="Times New Roman" w:hAnsi="Times New Roman" w:cs="Times New Roman"/>
          <w:sz w:val="24"/>
          <w:szCs w:val="24"/>
        </w:rPr>
        <w:t xml:space="preserve"> much more attention in Luke’s Gospel, especially in his public ministry as seen in hi</w:t>
      </w:r>
      <w:r>
        <w:rPr>
          <w:rFonts w:ascii="Times New Roman" w:hAnsi="Times New Roman"/>
          <w:sz w:val="24"/>
          <w:szCs w:val="24"/>
        </w:rPr>
        <w:t>s speech at Nazareth (Luke 4:14-</w:t>
      </w:r>
      <w:r w:rsidRPr="00C27437">
        <w:rPr>
          <w:rFonts w:ascii="Times New Roman" w:hAnsi="Times New Roman" w:cs="Times New Roman"/>
          <w:sz w:val="24"/>
          <w:szCs w:val="24"/>
        </w:rPr>
        <w:t xml:space="preserve">30) and in comparisons with Elijah, Elisha, and Moses. However, Jesus is greater than a prophet because he is the one who empowers and sends out his disciples as </w:t>
      </w:r>
      <w:r>
        <w:rPr>
          <w:rFonts w:ascii="Times New Roman" w:hAnsi="Times New Roman"/>
          <w:sz w:val="24"/>
          <w:szCs w:val="24"/>
        </w:rPr>
        <w:t>prophets into the world</w:t>
      </w:r>
      <w:r w:rsidRPr="00C27437">
        <w:rPr>
          <w:rFonts w:ascii="Times New Roman" w:hAnsi="Times New Roman" w:cs="Times New Roman"/>
          <w:sz w:val="24"/>
          <w:szCs w:val="24"/>
        </w:rPr>
        <w:t>.</w:t>
      </w:r>
      <w:bookmarkStart w:id="0" w:name="_GoBack"/>
      <w:bookmarkEnd w:id="0"/>
    </w:p>
    <w:p w:rsidR="00480A7B" w:rsidRDefault="00480A7B" w:rsidP="00300CB6">
      <w:pPr>
        <w:autoSpaceDE w:val="0"/>
        <w:autoSpaceDN w:val="0"/>
        <w:adjustRightInd w:val="0"/>
        <w:spacing w:after="0" w:line="480" w:lineRule="auto"/>
        <w:jc w:val="both"/>
        <w:rPr>
          <w:rFonts w:ascii="Times New Roman" w:hAnsi="Times New Roman" w:cs="Times New Roman"/>
          <w:sz w:val="24"/>
          <w:szCs w:val="24"/>
        </w:rPr>
      </w:pPr>
    </w:p>
    <w:sectPr w:rsidR="00480A7B" w:rsidSect="00571FEE">
      <w:footerReference w:type="default" r:id="rId7"/>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492" w:rsidRDefault="00154492" w:rsidP="00B553A0">
      <w:pPr>
        <w:spacing w:after="0" w:line="240" w:lineRule="auto"/>
      </w:pPr>
      <w:r>
        <w:separator/>
      </w:r>
    </w:p>
  </w:endnote>
  <w:endnote w:type="continuationSeparator" w:id="0">
    <w:p w:rsidR="00154492" w:rsidRDefault="00154492" w:rsidP="00B55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245106"/>
      <w:docPartObj>
        <w:docPartGallery w:val="Page Numbers (Bottom of Page)"/>
        <w:docPartUnique/>
      </w:docPartObj>
    </w:sdtPr>
    <w:sdtEndPr>
      <w:rPr>
        <w:noProof/>
      </w:rPr>
    </w:sdtEndPr>
    <w:sdtContent>
      <w:p w:rsidR="0098339C" w:rsidRDefault="00154492">
        <w:pPr>
          <w:pStyle w:val="Footer"/>
          <w:jc w:val="right"/>
        </w:pPr>
        <w:r>
          <w:fldChar w:fldCharType="begin"/>
        </w:r>
        <w:r>
          <w:instrText xml:space="preserve"> PAGE   \* MERGEFORMAT </w:instrText>
        </w:r>
        <w:r>
          <w:fldChar w:fldCharType="separate"/>
        </w:r>
        <w:r w:rsidR="007938DC">
          <w:rPr>
            <w:noProof/>
          </w:rPr>
          <w:t>3</w:t>
        </w:r>
        <w:r>
          <w:rPr>
            <w:noProof/>
          </w:rPr>
          <w:fldChar w:fldCharType="end"/>
        </w:r>
      </w:p>
    </w:sdtContent>
  </w:sdt>
  <w:p w:rsidR="0098339C" w:rsidRDefault="001544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492" w:rsidRDefault="00154492" w:rsidP="00B553A0">
      <w:pPr>
        <w:spacing w:after="0" w:line="240" w:lineRule="auto"/>
      </w:pPr>
      <w:r>
        <w:separator/>
      </w:r>
    </w:p>
  </w:footnote>
  <w:footnote w:type="continuationSeparator" w:id="0">
    <w:p w:rsidR="00154492" w:rsidRDefault="00154492" w:rsidP="00B553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3A0"/>
    <w:rsid w:val="001100FA"/>
    <w:rsid w:val="00154492"/>
    <w:rsid w:val="00300CB6"/>
    <w:rsid w:val="00403148"/>
    <w:rsid w:val="00440DCA"/>
    <w:rsid w:val="00480A7B"/>
    <w:rsid w:val="00571FEE"/>
    <w:rsid w:val="006039A8"/>
    <w:rsid w:val="00605F49"/>
    <w:rsid w:val="006C142A"/>
    <w:rsid w:val="006E2088"/>
    <w:rsid w:val="007938DC"/>
    <w:rsid w:val="0096705A"/>
    <w:rsid w:val="009A2CF6"/>
    <w:rsid w:val="00B55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A0"/>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53A0"/>
    <w:pPr>
      <w:spacing w:after="0" w:line="240" w:lineRule="auto"/>
    </w:pPr>
    <w:rPr>
      <w:lang w:val="en-GB"/>
    </w:rPr>
  </w:style>
  <w:style w:type="paragraph" w:styleId="Footer">
    <w:name w:val="footer"/>
    <w:basedOn w:val="Normal"/>
    <w:link w:val="FooterChar"/>
    <w:uiPriority w:val="99"/>
    <w:unhideWhenUsed/>
    <w:rsid w:val="00B55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3A0"/>
    <w:rPr>
      <w:lang w:val="en-GB"/>
    </w:rPr>
  </w:style>
  <w:style w:type="paragraph" w:styleId="FootnoteText">
    <w:name w:val="footnote text"/>
    <w:basedOn w:val="Normal"/>
    <w:link w:val="FootnoteTextChar"/>
    <w:uiPriority w:val="99"/>
    <w:semiHidden/>
    <w:unhideWhenUsed/>
    <w:rsid w:val="00B553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3A0"/>
    <w:rPr>
      <w:sz w:val="20"/>
      <w:szCs w:val="20"/>
      <w:lang w:val="en-GB"/>
    </w:rPr>
  </w:style>
  <w:style w:type="character" w:styleId="FootnoteReference">
    <w:name w:val="footnote reference"/>
    <w:basedOn w:val="DefaultParagraphFont"/>
    <w:uiPriority w:val="99"/>
    <w:semiHidden/>
    <w:unhideWhenUsed/>
    <w:rsid w:val="00B553A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A0"/>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53A0"/>
    <w:pPr>
      <w:spacing w:after="0" w:line="240" w:lineRule="auto"/>
    </w:pPr>
    <w:rPr>
      <w:lang w:val="en-GB"/>
    </w:rPr>
  </w:style>
  <w:style w:type="paragraph" w:styleId="Footer">
    <w:name w:val="footer"/>
    <w:basedOn w:val="Normal"/>
    <w:link w:val="FooterChar"/>
    <w:uiPriority w:val="99"/>
    <w:unhideWhenUsed/>
    <w:rsid w:val="00B55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3A0"/>
    <w:rPr>
      <w:lang w:val="en-GB"/>
    </w:rPr>
  </w:style>
  <w:style w:type="paragraph" w:styleId="FootnoteText">
    <w:name w:val="footnote text"/>
    <w:basedOn w:val="Normal"/>
    <w:link w:val="FootnoteTextChar"/>
    <w:uiPriority w:val="99"/>
    <w:semiHidden/>
    <w:unhideWhenUsed/>
    <w:rsid w:val="00B553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3A0"/>
    <w:rPr>
      <w:sz w:val="20"/>
      <w:szCs w:val="20"/>
      <w:lang w:val="en-GB"/>
    </w:rPr>
  </w:style>
  <w:style w:type="character" w:styleId="FootnoteReference">
    <w:name w:val="footnote reference"/>
    <w:basedOn w:val="DefaultParagraphFont"/>
    <w:uiPriority w:val="99"/>
    <w:semiHidden/>
    <w:unhideWhenUsed/>
    <w:rsid w:val="00B553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2021-02-04T11:16:00Z</dcterms:created>
  <dcterms:modified xsi:type="dcterms:W3CDTF">2021-02-04T16:40:00Z</dcterms:modified>
</cp:coreProperties>
</file>